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X4dc2267bbd918d7f1155da8c9bc0c07fdf30616"/>
    <w:p w14:paraId="29DBFAB5" w14:textId="77777777" w:rsidR="002535BC" w:rsidRDefault="000976DC">
      <w:pPr>
        <w:pStyle w:val="Heading1"/>
      </w:pPr>
      <w:r>
        <w:fldChar w:fldCharType="begin"/>
      </w:r>
      <w:r>
        <w:instrText>HYPERLINK \l "X4dc2267bbd918d7f1155da8c9bc0c07fdf30616" \h</w:instrText>
      </w:r>
      <w:r>
        <w:fldChar w:fldCharType="separate"/>
      </w:r>
      <w:r>
        <w:rPr>
          <w:noProof/>
        </w:rPr>
        <w:drawing>
          <wp:inline distT="0" distB="0" distL="0" distR="0" wp14:anchorId="37722CB9" wp14:editId="322A88FA">
            <wp:extent cx="152400" cy="152400"/>
            <wp:effectExtent l="0" t="0" r="0" b="0"/>
            <wp:docPr id="10" name="Picture"/>
            <wp:cNvGraphicFramePr/>
            <a:graphic xmlns:a="http://schemas.openxmlformats.org/drawingml/2006/main">
              <a:graphicData uri="http://schemas.openxmlformats.org/drawingml/2006/picture">
                <pic:pic xmlns:pic="http://schemas.openxmlformats.org/drawingml/2006/picture">
                  <pic:nvPicPr>
                    <pic:cNvPr id="11"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Companion Notes: IBM i SMB Market Analysis – intERPrise</w:t>
      </w:r>
    </w:p>
    <w:p w14:paraId="772DA9F2" w14:textId="77777777" w:rsidR="002535BC" w:rsidRDefault="000976DC">
      <w:pPr>
        <w:pStyle w:val="FirstParagraph"/>
      </w:pPr>
      <w:r>
        <w:rPr>
          <w:b/>
          <w:bCs/>
        </w:rPr>
        <w:t>Source:</w:t>
      </w:r>
      <w:r>
        <w:t xml:space="preserve"> </w:t>
      </w:r>
      <w:hyperlink r:id="rId7">
        <w:r>
          <w:rPr>
            <w:rStyle w:val="Hyperlink"/>
          </w:rPr>
          <w:t>ILE-RPG Forum – Marinus van Sandwyk</w:t>
        </w:r>
      </w:hyperlink>
      <w:r>
        <w:t xml:space="preserve"> </w:t>
      </w:r>
      <w:r>
        <w:rPr>
          <w:b/>
          <w:bCs/>
        </w:rPr>
        <w:t>Date of Article:</w:t>
      </w:r>
      <w:r>
        <w:t xml:space="preserve"> February 20, 2026 </w:t>
      </w:r>
      <w:r>
        <w:rPr>
          <w:b/>
          <w:bCs/>
        </w:rPr>
        <w:t>Prepared for:</w:t>
      </w:r>
      <w:r>
        <w:t xml:space="preserve"> Personal review and response preparation</w:t>
      </w:r>
    </w:p>
    <w:p w14:paraId="521D13F4" w14:textId="21896CEA" w:rsidR="00983B00" w:rsidRPr="00C1486E" w:rsidRDefault="00983B00" w:rsidP="00983B00">
      <w:pPr>
        <w:pStyle w:val="BodyText"/>
        <w:rPr>
          <w:b/>
          <w:bCs/>
        </w:rPr>
      </w:pPr>
      <w:r w:rsidRPr="00C1486E">
        <w:rPr>
          <w:b/>
          <w:bCs/>
        </w:rPr>
        <w:t>Remarks from Mike Moegling:</w:t>
      </w:r>
    </w:p>
    <w:p w14:paraId="734CC306" w14:textId="48B56FC2" w:rsidR="00983B00" w:rsidRDefault="00124502" w:rsidP="004B64D9">
      <w:pPr>
        <w:pStyle w:val="BodyText"/>
        <w:ind w:left="720"/>
      </w:pPr>
      <w:r>
        <w:t xml:space="preserve">I used Claude AI Sonnet to help me break apart this </w:t>
      </w:r>
      <w:r w:rsidR="00C22BDD">
        <w:t xml:space="preserve">very important and significant post for my personal benefit to </w:t>
      </w:r>
      <w:r w:rsidR="0010595D">
        <w:t xml:space="preserve">help me gather my thoughts in a focused manner and contribute to this magnificent work by Marinus.  </w:t>
      </w:r>
    </w:p>
    <w:p w14:paraId="64EFF30C" w14:textId="0CACFBF6" w:rsidR="00C1486E" w:rsidRDefault="00C1486E" w:rsidP="004B64D9">
      <w:pPr>
        <w:pStyle w:val="BodyText"/>
        <w:ind w:left="720"/>
      </w:pPr>
      <w:r>
        <w:t xml:space="preserve">While the IBMi world is full of LinkedIn posts, </w:t>
      </w:r>
      <w:r w:rsidR="00ED4357">
        <w:t xml:space="preserve">IT Jungle, and blog posts, of which I am a continuing contributor, there are places where </w:t>
      </w:r>
      <w:r w:rsidR="00AE102B">
        <w:t xml:space="preserve">the </w:t>
      </w:r>
      <w:r w:rsidR="004B64D9">
        <w:t>full-length</w:t>
      </w:r>
      <w:r w:rsidR="00AE102B">
        <w:t xml:space="preserve"> essays and white paper level thought and content are needed and often required.  </w:t>
      </w:r>
      <w:r w:rsidR="004B64D9">
        <w:t xml:space="preserve">This </w:t>
      </w:r>
      <w:r w:rsidR="00AB30B3">
        <w:t xml:space="preserve">long form post at </w:t>
      </w:r>
      <w:hyperlink r:id="rId8" w:history="1">
        <w:r w:rsidR="00AB30B3" w:rsidRPr="00482B0F">
          <w:rPr>
            <w:rStyle w:val="Hyperlink"/>
          </w:rPr>
          <w:t>https://www.ile-rpg.org/forum/open-source-contributions/ibm-i-smb-market-analysis-discussion-interprise/</w:t>
        </w:r>
      </w:hyperlink>
      <w:r w:rsidR="00AB30B3">
        <w:t xml:space="preserve"> is of white paper quality and is timely </w:t>
      </w:r>
      <w:r w:rsidR="005068BF">
        <w:t xml:space="preserve">in the most urgent time for the IBMi platform. </w:t>
      </w:r>
    </w:p>
    <w:p w14:paraId="462A2D94" w14:textId="19020437" w:rsidR="005068BF" w:rsidRDefault="005068BF" w:rsidP="004B64D9">
      <w:pPr>
        <w:pStyle w:val="BodyText"/>
        <w:ind w:left="720"/>
      </w:pPr>
      <w:r>
        <w:t xml:space="preserve">The recent growth of interest in application and database modernization </w:t>
      </w:r>
      <w:r w:rsidR="006E0D44">
        <w:t xml:space="preserve">is both a good and bad think.  Think of it as a </w:t>
      </w:r>
      <w:r w:rsidR="00482579">
        <w:t>two-edged</w:t>
      </w:r>
      <w:r w:rsidR="006E0D44">
        <w:t xml:space="preserve"> sword. It cuts on both sides.  </w:t>
      </w:r>
      <w:r w:rsidR="00482579">
        <w:t>It is not as much of a trend as it is a talking point for platform modernization</w:t>
      </w:r>
      <w:r w:rsidR="00201013">
        <w:t xml:space="preserve">.  The term itself is actually like a crushed glass window.  Lots of fractures and </w:t>
      </w:r>
      <w:r w:rsidR="002D5A96">
        <w:t xml:space="preserve">angles but the actual benefit and clarity of the window is not clear and defined.  </w:t>
      </w:r>
    </w:p>
    <w:p w14:paraId="0E2A51D6" w14:textId="65300E62" w:rsidR="002334EE" w:rsidRDefault="002334EE" w:rsidP="004B64D9">
      <w:pPr>
        <w:pStyle w:val="BodyText"/>
        <w:ind w:left="720"/>
      </w:pPr>
      <w:r>
        <w:t xml:space="preserve">That is the one side of the sword.  The other side is the actual true necessity to </w:t>
      </w:r>
      <w:r w:rsidR="007E5DDC">
        <w:t xml:space="preserve">in several large efforts bring the systems/businesses already leaning into the contemporary state of the system, the middle tier still in the middle of calculating the cost and time </w:t>
      </w:r>
      <w:r w:rsidR="004502D4">
        <w:t xml:space="preserve">of a systems modernization project, and the SMB’s described in detail in this post. </w:t>
      </w:r>
    </w:p>
    <w:p w14:paraId="69EA1F32" w14:textId="2CB797C0" w:rsidR="004502D4" w:rsidRDefault="004502D4" w:rsidP="004B64D9">
      <w:pPr>
        <w:pStyle w:val="BodyText"/>
        <w:ind w:left="720"/>
      </w:pPr>
      <w:r>
        <w:t xml:space="preserve">I would say that the large majority of IBMi companies are in the middle and SMB tiers.  While some have had good teams and kept things in good shape, others have either forgotten or never had a chance to keep up.  It could be management, money, resources, or never having the vision.  </w:t>
      </w:r>
    </w:p>
    <w:p w14:paraId="56E37D2D" w14:textId="77777777" w:rsidR="00861529" w:rsidRDefault="00861529" w:rsidP="009D313A">
      <w:pPr>
        <w:pStyle w:val="BlockText"/>
        <w:jc w:val="center"/>
      </w:pPr>
      <w:r>
        <w:rPr>
          <w:i/>
          <w:iCs/>
        </w:rPr>
        <w:t>“If they won’t even pay for hardware maintenance or keep their OS current, will they care enough about modernizing their apps?”</w:t>
      </w:r>
    </w:p>
    <w:p w14:paraId="2953A3BC" w14:textId="77777777" w:rsidR="00B30119" w:rsidRDefault="00861529" w:rsidP="004B64D9">
      <w:pPr>
        <w:pStyle w:val="BodyText"/>
        <w:ind w:left="720"/>
      </w:pPr>
      <w:r>
        <w:t xml:space="preserve">This is a true statement.  </w:t>
      </w:r>
      <w:r w:rsidR="00817577">
        <w:t xml:space="preserve">These are the companies that get bought up by private equity companies or the leadership passes into the next generation who </w:t>
      </w:r>
      <w:r w:rsidR="009D29A3">
        <w:t xml:space="preserve">looks at the green on black screens and then consider it old.  We know that the system is the heritage of the business, but the next wave of leaders does not think that way.  They bring in Oracle Net Suite of Microsoft D365 and try to </w:t>
      </w:r>
      <w:r w:rsidR="009D313A">
        <w:t>replace the IBM systems with cloud solutions.</w:t>
      </w:r>
    </w:p>
    <w:p w14:paraId="754C123C" w14:textId="57A924D1" w:rsidR="004502D4" w:rsidRDefault="00B30119" w:rsidP="004B64D9">
      <w:pPr>
        <w:pStyle w:val="BodyText"/>
        <w:ind w:left="720"/>
      </w:pPr>
      <w:r>
        <w:lastRenderedPageBreak/>
        <w:t xml:space="preserve">There is too much here for me to </w:t>
      </w:r>
      <w:r w:rsidR="00E12694">
        <w:t>comment on</w:t>
      </w:r>
      <w:r>
        <w:t xml:space="preserve"> and work </w:t>
      </w:r>
      <w:r w:rsidR="00E12694">
        <w:t>within</w:t>
      </w:r>
      <w:r>
        <w:t xml:space="preserve"> a single sitting.  I want to post this </w:t>
      </w:r>
      <w:r w:rsidR="00E12694">
        <w:t xml:space="preserve">document and these thoughts and then return and continue down through the wonderful summary below.  </w:t>
      </w:r>
      <w:r w:rsidR="009D313A">
        <w:t xml:space="preserve">  </w:t>
      </w:r>
      <w:r w:rsidR="00194889">
        <w:t xml:space="preserve">Bit by bit I hope to add continued value and support to this platform and the wonderful people who work on it.  </w:t>
      </w:r>
    </w:p>
    <w:p w14:paraId="3E8F8A7D" w14:textId="15DCC483" w:rsidR="003A2558" w:rsidRDefault="003A2558" w:rsidP="004B64D9">
      <w:pPr>
        <w:pStyle w:val="BodyText"/>
        <w:ind w:left="720"/>
      </w:pPr>
      <w:r>
        <w:t>Cheers,</w:t>
      </w:r>
    </w:p>
    <w:p w14:paraId="2833834B" w14:textId="7A2CB223" w:rsidR="003A2558" w:rsidRDefault="003A2558" w:rsidP="004B64D9">
      <w:pPr>
        <w:pStyle w:val="BodyText"/>
        <w:ind w:left="720"/>
      </w:pPr>
      <w:r>
        <w:t>Mike Moegling</w:t>
      </w:r>
    </w:p>
    <w:p w14:paraId="6DF7755F" w14:textId="77777777" w:rsidR="00983B00" w:rsidRPr="00983B00" w:rsidRDefault="00983B00" w:rsidP="00983B00">
      <w:pPr>
        <w:pStyle w:val="BodyText"/>
      </w:pPr>
    </w:p>
    <w:p w14:paraId="2DDDB1F6" w14:textId="77777777" w:rsidR="002535BC" w:rsidRDefault="000976DC">
      <w:r>
        <w:pict w14:anchorId="24D5BB82">
          <v:rect id="_x0000_i1025" style="width:0;height:1.5pt" o:hralign="center" o:hrstd="t" o:hr="t"/>
        </w:pict>
      </w:r>
    </w:p>
    <w:bookmarkStart w:id="1" w:name="X3dab791f6698f686d8bde64960b41fd98c0b84e"/>
    <w:p w14:paraId="2D00E663" w14:textId="77777777" w:rsidR="002535BC" w:rsidRDefault="000976DC">
      <w:pPr>
        <w:pStyle w:val="Heading2"/>
      </w:pPr>
      <w:r>
        <w:fldChar w:fldCharType="begin"/>
      </w:r>
      <w:r>
        <w:instrText>HYPERLINK \l "X3dab791f6698f686d8bde64960b41fd98c0b84e" \h</w:instrText>
      </w:r>
      <w:r>
        <w:fldChar w:fldCharType="separate"/>
      </w:r>
      <w:r>
        <w:rPr>
          <w:noProof/>
        </w:rPr>
        <w:drawing>
          <wp:inline distT="0" distB="0" distL="0" distR="0" wp14:anchorId="36873827" wp14:editId="7C820668">
            <wp:extent cx="152400" cy="152400"/>
            <wp:effectExtent l="0" t="0" r="0" b="0"/>
            <wp:docPr id="13" name="Picture"/>
            <wp:cNvGraphicFramePr/>
            <a:graphic xmlns:a="http://schemas.openxmlformats.org/drawingml/2006/main">
              <a:graphicData uri="http://schemas.openxmlformats.org/drawingml/2006/picture">
                <pic:pic xmlns:pic="http://schemas.openxmlformats.org/drawingml/2006/picture">
                  <pic:nvPicPr>
                    <pic:cNvPr id="14"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w:t>
      </w:r>
      <w:r>
        <w:t xml:space="preserve"> Overview &amp; Purpose of the Article</w:t>
      </w:r>
    </w:p>
    <w:p w14:paraId="16932A66" w14:textId="77777777" w:rsidR="002535BC" w:rsidRDefault="000976DC">
      <w:pPr>
        <w:pStyle w:val="FirstParagraph"/>
      </w:pPr>
      <w:r>
        <w:t xml:space="preserve">Marinus van Sandwyk (TEMBO) wrote this as a </w:t>
      </w:r>
      <w:r>
        <w:rPr>
          <w:b/>
          <w:bCs/>
        </w:rPr>
        <w:t>forum discussion paper</w:t>
      </w:r>
      <w:r>
        <w:t xml:space="preserve"> — not a casual post — to seek validation, challenge, and competing perspectives from a small invited group. It was triggered by a sharp devil’s advocate question:</w:t>
      </w:r>
    </w:p>
    <w:p w14:paraId="26CE5B01" w14:textId="77777777" w:rsidR="002535BC" w:rsidRDefault="000976DC">
      <w:pPr>
        <w:pStyle w:val="BlockText"/>
      </w:pPr>
      <w:r>
        <w:rPr>
          <w:i/>
          <w:iCs/>
        </w:rPr>
        <w:t>“If they won’t even pay for hardware maintenance or keep their OS current, will they care enough about modernizing their apps?”</w:t>
      </w:r>
    </w:p>
    <w:p w14:paraId="558607EF" w14:textId="77777777" w:rsidR="002535BC" w:rsidRDefault="000976DC">
      <w:pPr>
        <w:pStyle w:val="FirstParagraph"/>
      </w:pPr>
      <w:r>
        <w:t xml:space="preserve">The article attempts to answer that question comprehensively, with four decades of market experience behind it. The core thesis is: </w:t>
      </w:r>
      <w:r>
        <w:rPr>
          <w:b/>
          <w:bCs/>
        </w:rPr>
        <w:t>the IBM i community has unknowingly abandoned its largest segment — SMBs — and the intERPrise initiative is designed to re-engage them.</w:t>
      </w:r>
    </w:p>
    <w:p w14:paraId="11EB3C1C" w14:textId="77777777" w:rsidR="002535BC" w:rsidRDefault="000976DC">
      <w:r>
        <w:pict w14:anchorId="233CC69C">
          <v:rect id="_x0000_i1026" style="width:0;height:1.5pt" o:hralign="center" o:hrstd="t" o:hr="t"/>
        </w:pict>
      </w:r>
    </w:p>
    <w:bookmarkStart w:id="2" w:name="X0ca056bbcaa346c3da06cadff9796f62db3981e"/>
    <w:bookmarkEnd w:id="1"/>
    <w:p w14:paraId="086DC150" w14:textId="77777777" w:rsidR="002535BC" w:rsidRDefault="000976DC">
      <w:pPr>
        <w:pStyle w:val="Heading2"/>
      </w:pPr>
      <w:r>
        <w:fldChar w:fldCharType="begin"/>
      </w:r>
      <w:r>
        <w:instrText>HYPERLINK \l "X0ca056bbcaa346c3da06cadff9796f62db3981e" \h</w:instrText>
      </w:r>
      <w:r>
        <w:fldChar w:fldCharType="separate"/>
      </w:r>
      <w:r>
        <w:rPr>
          <w:noProof/>
        </w:rPr>
        <w:drawing>
          <wp:inline distT="0" distB="0" distL="0" distR="0" wp14:anchorId="6D9C07D7" wp14:editId="15E5B3A7">
            <wp:extent cx="152400" cy="152400"/>
            <wp:effectExtent l="0" t="0" r="0" b="0"/>
            <wp:docPr id="16" name="Picture"/>
            <wp:cNvGraphicFramePr/>
            <a:graphic xmlns:a="http://schemas.openxmlformats.org/drawingml/2006/main">
              <a:graphicData uri="http://schemas.openxmlformats.org/drawingml/2006/picture">
                <pic:pic xmlns:pic="http://schemas.openxmlformats.org/drawingml/2006/picture">
                  <pic:nvPicPr>
                    <pic:cNvPr id="17"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Key Points at a Glance</w:t>
      </w:r>
    </w:p>
    <w:p w14:paraId="759DC3F2" w14:textId="77777777" w:rsidR="002535BC" w:rsidRDefault="000976DC">
      <w:pPr>
        <w:pStyle w:val="Compact"/>
        <w:numPr>
          <w:ilvl w:val="0"/>
          <w:numId w:val="2"/>
        </w:numPr>
      </w:pPr>
      <w:r>
        <w:rPr>
          <w:b/>
          <w:bCs/>
        </w:rPr>
        <w:t>The “missing masses” are real and enormous</w:t>
      </w:r>
      <w:r>
        <w:t xml:space="preserve"> — estimated at ~80% of IBM i installations globally, largely invisible to the formal market.</w:t>
      </w:r>
    </w:p>
    <w:p w14:paraId="4073095C" w14:textId="77777777" w:rsidR="002535BC" w:rsidRDefault="000976DC">
      <w:pPr>
        <w:pStyle w:val="Compact"/>
        <w:numPr>
          <w:ilvl w:val="0"/>
          <w:numId w:val="2"/>
        </w:numPr>
      </w:pPr>
      <w:r>
        <w:rPr>
          <w:b/>
          <w:bCs/>
        </w:rPr>
        <w:t>IBM’s shift from direct engagement to channel partners</w:t>
      </w:r>
      <w:r>
        <w:t xml:space="preserve"> left SMBs without the technical support they relied upon, contributing to decades of stagnation.</w:t>
      </w:r>
    </w:p>
    <w:p w14:paraId="183ADE60" w14:textId="77777777" w:rsidR="002535BC" w:rsidRDefault="000976DC">
      <w:pPr>
        <w:pStyle w:val="Compact"/>
        <w:numPr>
          <w:ilvl w:val="0"/>
          <w:numId w:val="2"/>
        </w:numPr>
      </w:pPr>
      <w:r>
        <w:rPr>
          <w:b/>
          <w:bCs/>
        </w:rPr>
        <w:t>SMBs didn’t fail to modernize out of stubbornness</w:t>
      </w:r>
      <w:r>
        <w:t xml:space="preserve"> — they were abandoned by their support ecosystem and faced insurmountable technical transitions alone.</w:t>
      </w:r>
    </w:p>
    <w:p w14:paraId="2571B516" w14:textId="77777777" w:rsidR="002535BC" w:rsidRDefault="000976DC">
      <w:pPr>
        <w:pStyle w:val="Compact"/>
        <w:numPr>
          <w:ilvl w:val="0"/>
          <w:numId w:val="2"/>
        </w:numPr>
      </w:pPr>
      <w:r>
        <w:rPr>
          <w:b/>
          <w:bCs/>
        </w:rPr>
        <w:t>Three pivotal platform changes in the 1990s</w:t>
      </w:r>
      <w:r>
        <w:t xml:space="preserve"> widened the knowledge gap dramatically: ILE compiler, SQE DB2 engine, and new IDEs.</w:t>
      </w:r>
    </w:p>
    <w:p w14:paraId="163CC6EA" w14:textId="77777777" w:rsidR="002535BC" w:rsidRDefault="000976DC">
      <w:pPr>
        <w:pStyle w:val="Compact"/>
        <w:numPr>
          <w:ilvl w:val="0"/>
          <w:numId w:val="2"/>
        </w:numPr>
      </w:pPr>
      <w:r>
        <w:rPr>
          <w:b/>
          <w:bCs/>
        </w:rPr>
        <w:t>The opportunity is massive</w:t>
      </w:r>
      <w:r>
        <w:t xml:space="preserve"> — Marinus estimates 19,200 to 48,000 installations that could benefit significantly.</w:t>
      </w:r>
    </w:p>
    <w:p w14:paraId="34A7C225" w14:textId="77777777" w:rsidR="002535BC" w:rsidRDefault="000976DC">
      <w:pPr>
        <w:pStyle w:val="Compact"/>
        <w:numPr>
          <w:ilvl w:val="0"/>
          <w:numId w:val="2"/>
        </w:numPr>
      </w:pPr>
      <w:r>
        <w:rPr>
          <w:b/>
          <w:bCs/>
        </w:rPr>
        <w:t>intERPrise is the proposed solution</w:t>
      </w:r>
      <w:r>
        <w:t>: an open-source ERP blueprint with full source code, modern architecture, education materials, and a non-disruptive modernization roadmap.</w:t>
      </w:r>
    </w:p>
    <w:p w14:paraId="22CFD5B1" w14:textId="77777777" w:rsidR="002535BC" w:rsidRDefault="000976DC">
      <w:pPr>
        <w:pStyle w:val="Compact"/>
        <w:numPr>
          <w:ilvl w:val="0"/>
          <w:numId w:val="2"/>
        </w:numPr>
      </w:pPr>
      <w:r>
        <w:rPr>
          <w:b/>
          <w:bCs/>
        </w:rPr>
        <w:t>The biggest risk to SMBs today is talent retirement</w:t>
      </w:r>
      <w:r>
        <w:t xml:space="preserve"> — Baby Boomers and Gen Xers built these systems, and they’re leaving within ~3 years.</w:t>
      </w:r>
    </w:p>
    <w:p w14:paraId="1A45AF62" w14:textId="77777777" w:rsidR="002535BC" w:rsidRDefault="000976DC">
      <w:pPr>
        <w:pStyle w:val="Compact"/>
        <w:numPr>
          <w:ilvl w:val="0"/>
          <w:numId w:val="2"/>
        </w:numPr>
      </w:pPr>
      <w:r>
        <w:rPr>
          <w:b/>
          <w:bCs/>
        </w:rPr>
        <w:lastRenderedPageBreak/>
        <w:t>Word of mouth and community trust</w:t>
      </w:r>
      <w:r>
        <w:t xml:space="preserve"> will be more effective than traditional advertising to reach the hidden masses.</w:t>
      </w:r>
    </w:p>
    <w:p w14:paraId="7E661266" w14:textId="77777777" w:rsidR="002535BC" w:rsidRDefault="000976DC">
      <w:r>
        <w:pict w14:anchorId="2829BA8D">
          <v:rect id="_x0000_i1027" style="width:0;height:1.5pt" o:hralign="center" o:hrstd="t" o:hr="t"/>
        </w:pict>
      </w:r>
    </w:p>
    <w:bookmarkStart w:id="3" w:name="X0dff72ecaf4aa66217b769ced1c80fa37150e3b"/>
    <w:bookmarkEnd w:id="2"/>
    <w:p w14:paraId="2CDCBE0E" w14:textId="77777777" w:rsidR="002535BC" w:rsidRDefault="000976DC">
      <w:pPr>
        <w:pStyle w:val="Heading2"/>
      </w:pPr>
      <w:r>
        <w:fldChar w:fldCharType="begin"/>
      </w:r>
      <w:r>
        <w:instrText>HYPERLINK \l "X0dff72ecaf4aa66217b769ced1c80fa37150e3b" \h</w:instrText>
      </w:r>
      <w:r>
        <w:fldChar w:fldCharType="separate"/>
      </w:r>
      <w:r>
        <w:rPr>
          <w:noProof/>
        </w:rPr>
        <w:drawing>
          <wp:inline distT="0" distB="0" distL="0" distR="0" wp14:anchorId="63E6857E" wp14:editId="1D9C1D8C">
            <wp:extent cx="152400" cy="152400"/>
            <wp:effectExtent l="0" t="0" r="0" b="0"/>
            <wp:docPr id="19" name="Picture"/>
            <wp:cNvGraphicFramePr/>
            <a:graphic xmlns:a="http://schemas.openxmlformats.org/drawingml/2006/main">
              <a:graphicData uri="http://schemas.openxmlformats.org/drawingml/2006/picture">
                <pic:pic xmlns:pic="http://schemas.openxmlformats.org/drawingml/2006/picture">
                  <pic:nvPicPr>
                    <pic:cNvPr id="20"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Areas of Highlight</w:t>
      </w:r>
    </w:p>
    <w:bookmarkStart w:id="4" w:name="X8df53ad482faa68b2d097c4eaeb81f40113dd97"/>
    <w:p w14:paraId="2B73E140" w14:textId="77777777" w:rsidR="002535BC" w:rsidRDefault="000976DC">
      <w:pPr>
        <w:pStyle w:val="Heading3"/>
      </w:pPr>
      <w:r>
        <w:fldChar w:fldCharType="begin"/>
      </w:r>
      <w:r>
        <w:instrText>HYPERLINK \l "X8df53ad482faa68b2d097c4eaeb81f40113dd97" \h</w:instrText>
      </w:r>
      <w:r>
        <w:fldChar w:fldCharType="separate"/>
      </w:r>
      <w:r>
        <w:rPr>
          <w:noProof/>
        </w:rPr>
        <w:drawing>
          <wp:inline distT="0" distB="0" distL="0" distR="0" wp14:anchorId="0926577C" wp14:editId="1EF6D870">
            <wp:extent cx="152400" cy="152400"/>
            <wp:effectExtent l="0" t="0" r="0" b="0"/>
            <wp:docPr id="21" name="Picture"/>
            <wp:cNvGraphicFramePr/>
            <a:graphic xmlns:a="http://schemas.openxmlformats.org/drawingml/2006/main">
              <a:graphicData uri="http://schemas.openxmlformats.org/drawingml/2006/picture">
                <pic:pic xmlns:pic="http://schemas.openxmlformats.org/drawingml/2006/picture">
                  <pic:nvPicPr>
                    <pic:cNvPr id="22"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1. The “Knowns” vs. “Unknowns” Framework</w:t>
      </w:r>
    </w:p>
    <w:p w14:paraId="179516A4" w14:textId="77777777" w:rsidR="002535BC" w:rsidRDefault="000976DC">
      <w:pPr>
        <w:pStyle w:val="FirstParagraph"/>
      </w:pPr>
      <w:r>
        <w:t>Marinus introduces a powerful mental model:</w:t>
      </w:r>
    </w:p>
    <w:p w14:paraId="4D924281" w14:textId="77777777" w:rsidR="002535BC" w:rsidRDefault="000976DC">
      <w:pPr>
        <w:pStyle w:val="Compact"/>
        <w:numPr>
          <w:ilvl w:val="0"/>
          <w:numId w:val="3"/>
        </w:numPr>
      </w:pPr>
      <w:r>
        <w:rPr>
          <w:b/>
          <w:bCs/>
        </w:rPr>
        <w:t>“Knowns”</w:t>
      </w:r>
      <w:r>
        <w:t xml:space="preserve"> </w:t>
      </w:r>
      <w:r>
        <w:t>= the formal, active, well-serviced IBM i community (IBM partners, COMMON, ISVs, surveys, etc.)</w:t>
      </w:r>
    </w:p>
    <w:p w14:paraId="7F0E4027" w14:textId="77777777" w:rsidR="002535BC" w:rsidRDefault="000976DC">
      <w:pPr>
        <w:pStyle w:val="Compact"/>
        <w:numPr>
          <w:ilvl w:val="0"/>
          <w:numId w:val="3"/>
        </w:numPr>
      </w:pPr>
      <w:r>
        <w:rPr>
          <w:b/>
          <w:bCs/>
        </w:rPr>
        <w:t>“Unknowns”</w:t>
      </w:r>
      <w:r>
        <w:t xml:space="preserve"> = the silent majority of SMBs operating on old hardware, legacy OS, with little external support</w:t>
      </w:r>
    </w:p>
    <w:p w14:paraId="60C00A95" w14:textId="77777777" w:rsidR="002535BC" w:rsidRDefault="000976DC">
      <w:pPr>
        <w:pStyle w:val="BlockText"/>
      </w:pPr>
      <w:r>
        <w:t xml:space="preserve">The known market acts as an </w:t>
      </w:r>
      <w:r>
        <w:rPr>
          <w:b/>
          <w:bCs/>
        </w:rPr>
        <w:t>echo chamber</w:t>
      </w:r>
      <w:r>
        <w:t>, ignoring the unknowns while unknowingly speaking on their behalf.</w:t>
      </w:r>
    </w:p>
    <w:p w14:paraId="4262DE0E" w14:textId="77777777" w:rsidR="002535BC" w:rsidRDefault="000976DC">
      <w:pPr>
        <w:pStyle w:val="FirstParagraph"/>
      </w:pPr>
      <w:r>
        <w:rPr>
          <w:b/>
          <w:bCs/>
        </w:rPr>
        <w:t>Your reflection prompt:</w:t>
      </w:r>
      <w:r>
        <w:t xml:space="preserve"> Do you agree with this bifurcation? Have you encountered “unknowns” in your own experience who fit this profile?</w:t>
      </w:r>
    </w:p>
    <w:p w14:paraId="65ED9673" w14:textId="77777777" w:rsidR="002535BC" w:rsidRDefault="000976DC">
      <w:r>
        <w:pict w14:anchorId="7ED9F07D">
          <v:rect id="_x0000_i1028" style="width:0;height:1.5pt" o:hralign="center" o:hrstd="t" o:hr="t"/>
        </w:pict>
      </w:r>
    </w:p>
    <w:bookmarkStart w:id="5" w:name="Xf4dff55316828a4e22aca7b8fb977474e17a678"/>
    <w:bookmarkEnd w:id="4"/>
    <w:p w14:paraId="66B1B209" w14:textId="77777777" w:rsidR="002535BC" w:rsidRDefault="000976DC">
      <w:pPr>
        <w:pStyle w:val="Heading3"/>
      </w:pPr>
      <w:r>
        <w:fldChar w:fldCharType="begin"/>
      </w:r>
      <w:r>
        <w:instrText>HYPERLINK \l "Xf4dff55316828a4e22aca7b8fb977474e17a678" \h</w:instrText>
      </w:r>
      <w:r>
        <w:fldChar w:fldCharType="separate"/>
      </w:r>
      <w:r>
        <w:rPr>
          <w:noProof/>
        </w:rPr>
        <w:drawing>
          <wp:inline distT="0" distB="0" distL="0" distR="0" wp14:anchorId="09EBE745" wp14:editId="3A13FF49">
            <wp:extent cx="152400" cy="152400"/>
            <wp:effectExtent l="0" t="0" r="0" b="0"/>
            <wp:docPr id="24" name="Picture"/>
            <wp:cNvGraphicFramePr/>
            <a:graphic xmlns:a="http://schemas.openxmlformats.org/drawingml/2006/main">
              <a:graphicData uri="http://schemas.openxmlformats.org/drawingml/2006/picture">
                <pic:pic xmlns:pic="http://schemas.openxmlformats.org/drawingml/2006/picture">
                  <pic:nvPicPr>
                    <pic:cNvPr id="25"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2. IBM’s Structural Abandonment of SMBs</w:t>
      </w:r>
    </w:p>
    <w:p w14:paraId="4A07F190" w14:textId="77777777" w:rsidR="002535BC" w:rsidRDefault="000976DC">
      <w:pPr>
        <w:pStyle w:val="FirstParagraph"/>
      </w:pPr>
      <w:r>
        <w:t>The article traces IBM’s gradual withdrawal:</w:t>
      </w:r>
    </w:p>
    <w:p w14:paraId="2DCB098A" w14:textId="77777777" w:rsidR="002535BC" w:rsidRDefault="000976DC">
      <w:pPr>
        <w:pStyle w:val="Compact"/>
        <w:numPr>
          <w:ilvl w:val="0"/>
          <w:numId w:val="4"/>
        </w:numPr>
      </w:pPr>
      <w:r>
        <w:t>1980s: Direct IBM SEs visited SMB sites, provided code examples and free guidance</w:t>
      </w:r>
    </w:p>
    <w:p w14:paraId="6139C002" w14:textId="77777777" w:rsidR="002535BC" w:rsidRDefault="000976DC">
      <w:pPr>
        <w:pStyle w:val="Compact"/>
        <w:numPr>
          <w:ilvl w:val="0"/>
          <w:numId w:val="4"/>
        </w:numPr>
      </w:pPr>
      <w:r>
        <w:t>1993–2002: Lou Gerstner gutted staffing, forced a channel-only model</w:t>
      </w:r>
    </w:p>
    <w:p w14:paraId="7F87F480" w14:textId="77777777" w:rsidR="002535BC" w:rsidRDefault="000976DC">
      <w:pPr>
        <w:pStyle w:val="Compact"/>
        <w:numPr>
          <w:ilvl w:val="0"/>
          <w:numId w:val="4"/>
        </w:numPr>
      </w:pPr>
      <w:r>
        <w:t>Post-2002: IBM focused on large customers; SMBs were left to fend for themselves</w:t>
      </w:r>
    </w:p>
    <w:p w14:paraId="1DBBC24C" w14:textId="77777777" w:rsidR="002535BC" w:rsidRDefault="000976DC">
      <w:pPr>
        <w:pStyle w:val="FirstParagraph"/>
      </w:pPr>
      <w:r>
        <w:t xml:space="preserve">The </w:t>
      </w:r>
      <w:r>
        <w:rPr>
          <w:b/>
          <w:bCs/>
        </w:rPr>
        <w:t>mid-range division (GSD) lost contact with the very customers</w:t>
      </w:r>
      <w:r>
        <w:t xml:space="preserve"> who made the platform successful. This is presented not as deliberate malice but as </w:t>
      </w:r>
      <w:r>
        <w:rPr>
          <w:b/>
          <w:bCs/>
        </w:rPr>
        <w:t>collateral damage from NYSE-driven corporate decisions</w:t>
      </w:r>
      <w:r>
        <w:t>.</w:t>
      </w:r>
    </w:p>
    <w:p w14:paraId="47199162" w14:textId="77777777" w:rsidR="002535BC" w:rsidRDefault="000976DC">
      <w:pPr>
        <w:pStyle w:val="BodyText"/>
      </w:pPr>
      <w:r>
        <w:rPr>
          <w:b/>
          <w:bCs/>
        </w:rPr>
        <w:t>Your reflection prompt:</w:t>
      </w:r>
      <w:r>
        <w:t xml:space="preserve"> Is the blame fairly distributed here? What might IBM have done differently? What responsibility do ISVs and partners bear?</w:t>
      </w:r>
    </w:p>
    <w:p w14:paraId="3AEB4A26" w14:textId="77777777" w:rsidR="002535BC" w:rsidRDefault="000976DC">
      <w:r>
        <w:pict w14:anchorId="2C35565B">
          <v:rect id="_x0000_i1029" style="width:0;height:1.5pt" o:hralign="center" o:hrstd="t" o:hr="t"/>
        </w:pict>
      </w:r>
    </w:p>
    <w:bookmarkStart w:id="6" w:name="X9c3bfe2b66a5e25f4e0b222de77d108d0282025"/>
    <w:bookmarkEnd w:id="5"/>
    <w:p w14:paraId="6F885CB5" w14:textId="77777777" w:rsidR="002535BC" w:rsidRDefault="000976DC">
      <w:pPr>
        <w:pStyle w:val="Heading3"/>
      </w:pPr>
      <w:r>
        <w:fldChar w:fldCharType="begin"/>
      </w:r>
      <w:r>
        <w:instrText>HYPERLINK \l "X9c3bfe2b66a5e25f4e0b222de77d108d0282025" \h</w:instrText>
      </w:r>
      <w:r>
        <w:fldChar w:fldCharType="separate"/>
      </w:r>
      <w:r>
        <w:rPr>
          <w:noProof/>
        </w:rPr>
        <w:drawing>
          <wp:inline distT="0" distB="0" distL="0" distR="0" wp14:anchorId="153EBBCD" wp14:editId="22B759AD">
            <wp:extent cx="152400" cy="152400"/>
            <wp:effectExtent l="0" t="0" r="0" b="0"/>
            <wp:docPr id="27" name="Picture"/>
            <wp:cNvGraphicFramePr/>
            <a:graphic xmlns:a="http://schemas.openxmlformats.org/drawingml/2006/main">
              <a:graphicData uri="http://schemas.openxmlformats.org/drawingml/2006/picture">
                <pic:pic xmlns:pic="http://schemas.openxmlformats.org/drawingml/2006/picture">
                  <pic:nvPicPr>
                    <pic:cNvPr id="28"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3. Why SMBs Didn’t Upgrade — The Real Answer</w:t>
      </w:r>
    </w:p>
    <w:p w14:paraId="5D5981D7" w14:textId="77777777" w:rsidR="002535BC" w:rsidRDefault="000976DC">
      <w:pPr>
        <w:pStyle w:val="FirstParagraph"/>
      </w:pPr>
      <w:r>
        <w:t>This is the most important corrective argument in the article. Common perception:</w:t>
      </w:r>
    </w:p>
    <w:p w14:paraId="4DD6F922" w14:textId="77777777" w:rsidR="002535BC" w:rsidRDefault="000976DC">
      <w:pPr>
        <w:pStyle w:val="Compact"/>
        <w:numPr>
          <w:ilvl w:val="0"/>
          <w:numId w:val="5"/>
        </w:numPr>
      </w:pPr>
      <w:r>
        <w:t>SMBs are cheap, resistant to change, ignorant</w:t>
      </w:r>
    </w:p>
    <w:p w14:paraId="4B2079FF" w14:textId="77777777" w:rsidR="002535BC" w:rsidRDefault="000976DC">
      <w:pPr>
        <w:pStyle w:val="FirstParagraph"/>
      </w:pPr>
      <w:r>
        <w:t>Marinus’s rebuttal:</w:t>
      </w:r>
    </w:p>
    <w:p w14:paraId="37F51403" w14:textId="77777777" w:rsidR="002535BC" w:rsidRDefault="000976DC">
      <w:pPr>
        <w:pStyle w:val="Compact"/>
        <w:numPr>
          <w:ilvl w:val="0"/>
          <w:numId w:val="6"/>
        </w:numPr>
      </w:pPr>
      <w:r>
        <w:lastRenderedPageBreak/>
        <w:t xml:space="preserve">Their hardware </w:t>
      </w:r>
      <w:r>
        <w:rPr>
          <w:b/>
          <w:bCs/>
        </w:rPr>
        <w:t>never became a performance bottleneck</w:t>
      </w:r>
      <w:r>
        <w:t xml:space="preserve"> (smallest Power11 = 236,400 CPW vs. typical SMB need of 500–5,000 CPW)</w:t>
      </w:r>
    </w:p>
    <w:p w14:paraId="500D91E7" w14:textId="77777777" w:rsidR="002535BC" w:rsidRDefault="000976DC">
      <w:pPr>
        <w:pStyle w:val="Compact"/>
        <w:numPr>
          <w:ilvl w:val="0"/>
          <w:numId w:val="6"/>
        </w:numPr>
      </w:pPr>
      <w:r>
        <w:t>No compelling business justification existed to upgrade when the system kept running flawlessly</w:t>
      </w:r>
    </w:p>
    <w:p w14:paraId="33A32A74" w14:textId="77777777" w:rsidR="002535BC" w:rsidRDefault="000976DC">
      <w:pPr>
        <w:pStyle w:val="Compact"/>
        <w:numPr>
          <w:ilvl w:val="0"/>
          <w:numId w:val="6"/>
        </w:numPr>
      </w:pPr>
      <w:r>
        <w:t xml:space="preserve">Three simultaneous major platform transitions (ILE, SQE DB2, IDEs) with </w:t>
      </w:r>
      <w:r>
        <w:rPr>
          <w:b/>
          <w:bCs/>
        </w:rPr>
        <w:t>no SE to guide them</w:t>
      </w:r>
      <w:r>
        <w:t xml:space="preserve"> were simply too much</w:t>
      </w:r>
    </w:p>
    <w:p w14:paraId="15A06E53" w14:textId="77777777" w:rsidR="002535BC" w:rsidRDefault="000976DC">
      <w:pPr>
        <w:pStyle w:val="Compact"/>
        <w:numPr>
          <w:ilvl w:val="0"/>
          <w:numId w:val="6"/>
        </w:numPr>
      </w:pPr>
      <w:r>
        <w:t xml:space="preserve">New IDEs were </w:t>
      </w:r>
      <w:r>
        <w:rPr>
          <w:b/>
          <w:bCs/>
        </w:rPr>
        <w:t>charged for</w:t>
      </w:r>
      <w:r>
        <w:t>, when SMBs believed they’d already paid for development tools — a major cultural wound</w:t>
      </w:r>
    </w:p>
    <w:p w14:paraId="46B512E2" w14:textId="77777777" w:rsidR="002535BC" w:rsidRDefault="000976DC">
      <w:pPr>
        <w:pStyle w:val="FirstParagraph"/>
      </w:pPr>
      <w:r>
        <w:rPr>
          <w:b/>
          <w:bCs/>
        </w:rPr>
        <w:t>Your reflection prompt:</w:t>
      </w:r>
      <w:r>
        <w:t xml:space="preserve"> How would you characterize the ROI conversation for an SMB executive who’s never heard a compelling case for modernization?</w:t>
      </w:r>
    </w:p>
    <w:p w14:paraId="2BA252CD" w14:textId="77777777" w:rsidR="002535BC" w:rsidRDefault="000976DC">
      <w:r>
        <w:pict w14:anchorId="6EF81025">
          <v:rect id="_x0000_i1030" style="width:0;height:1.5pt" o:hralign="center" o:hrstd="t" o:hr="t"/>
        </w:pict>
      </w:r>
    </w:p>
    <w:bookmarkStart w:id="7" w:name="Xdf013f617a37c4c878866715a8e64cd0a48f0ff"/>
    <w:bookmarkEnd w:id="6"/>
    <w:p w14:paraId="0D4F4F21" w14:textId="77777777" w:rsidR="002535BC" w:rsidRDefault="000976DC">
      <w:pPr>
        <w:pStyle w:val="Heading3"/>
      </w:pPr>
      <w:r>
        <w:fldChar w:fldCharType="begin"/>
      </w:r>
      <w:r>
        <w:instrText>HYPERLINK \l "Xdf013f617a37c4c878866715a8e64cd0a48f0ff" \h</w:instrText>
      </w:r>
      <w:r>
        <w:fldChar w:fldCharType="separate"/>
      </w:r>
      <w:r>
        <w:rPr>
          <w:noProof/>
        </w:rPr>
        <w:drawing>
          <wp:inline distT="0" distB="0" distL="0" distR="0" wp14:anchorId="3D905487" wp14:editId="650786E6">
            <wp:extent cx="152400" cy="152400"/>
            <wp:effectExtent l="0" t="0" r="0" b="0"/>
            <wp:docPr id="30" name="Picture"/>
            <wp:cNvGraphicFramePr/>
            <a:graphic xmlns:a="http://schemas.openxmlformats.org/drawingml/2006/main">
              <a:graphicData uri="http://schemas.openxmlformats.org/drawingml/2006/picture">
                <pic:pic xmlns:pic="http://schemas.openxmlformats.org/drawingml/2006/picture">
                  <pic:nvPicPr>
                    <pic:cNvPr id="31"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4. The Three Technical Fault Lines (Mid-1990s Onward)</w:t>
      </w:r>
    </w:p>
    <w:p w14:paraId="369B517F" w14:textId="77777777" w:rsidR="002535BC" w:rsidRDefault="000976DC">
      <w:pPr>
        <w:pStyle w:val="FirstParagraph"/>
      </w:pPr>
      <w:r>
        <w:t xml:space="preserve">Marinus identifies three compounding disruptions that “broke” SMB applications architecturally — even as they continued to </w:t>
      </w:r>
      <w:r>
        <w:rPr>
          <w:i/>
          <w:iCs/>
        </w:rPr>
        <w:t>run</w:t>
      </w:r>
      <w:r>
        <w:t>:</w:t>
      </w:r>
    </w:p>
    <w:tbl>
      <w:tblPr>
        <w:tblStyle w:val="Table"/>
        <w:tblW w:w="0" w:type="auto"/>
        <w:tblLook w:val="0020" w:firstRow="1" w:lastRow="0" w:firstColumn="0" w:lastColumn="0" w:noHBand="0" w:noVBand="0"/>
      </w:tblPr>
      <w:tblGrid>
        <w:gridCol w:w="2402"/>
        <w:gridCol w:w="6958"/>
      </w:tblGrid>
      <w:tr w:rsidR="002535BC" w14:paraId="0FAECB12" w14:textId="77777777" w:rsidTr="002535BC">
        <w:trPr>
          <w:cnfStyle w:val="100000000000" w:firstRow="1" w:lastRow="0" w:firstColumn="0" w:lastColumn="0" w:oddVBand="0" w:evenVBand="0" w:oddHBand="0" w:evenHBand="0" w:firstRowFirstColumn="0" w:firstRowLastColumn="0" w:lastRowFirstColumn="0" w:lastRowLastColumn="0"/>
          <w:tblHeader/>
        </w:trPr>
        <w:tc>
          <w:tcPr>
            <w:tcW w:w="0" w:type="auto"/>
          </w:tcPr>
          <w:p w14:paraId="7F924AED" w14:textId="77777777" w:rsidR="002535BC" w:rsidRDefault="000976DC">
            <w:pPr>
              <w:pStyle w:val="Compact"/>
            </w:pPr>
            <w:r>
              <w:t>Disruption</w:t>
            </w:r>
          </w:p>
        </w:tc>
        <w:tc>
          <w:tcPr>
            <w:tcW w:w="0" w:type="auto"/>
          </w:tcPr>
          <w:p w14:paraId="2A51657A" w14:textId="77777777" w:rsidR="002535BC" w:rsidRDefault="000976DC">
            <w:pPr>
              <w:pStyle w:val="Compact"/>
            </w:pPr>
            <w:r>
              <w:t>Impact</w:t>
            </w:r>
          </w:p>
        </w:tc>
      </w:tr>
      <w:tr w:rsidR="002535BC" w14:paraId="4C288D80" w14:textId="77777777">
        <w:tc>
          <w:tcPr>
            <w:tcW w:w="0" w:type="auto"/>
          </w:tcPr>
          <w:p w14:paraId="3FB12B89" w14:textId="77777777" w:rsidR="002535BC" w:rsidRDefault="000976DC">
            <w:pPr>
              <w:pStyle w:val="Compact"/>
            </w:pPr>
            <w:r>
              <w:rPr>
                <w:b/>
                <w:bCs/>
              </w:rPr>
              <w:t>ILE Compiler</w:t>
            </w:r>
          </w:p>
        </w:tc>
        <w:tc>
          <w:tcPr>
            <w:tcW w:w="0" w:type="auto"/>
          </w:tcPr>
          <w:p w14:paraId="0ADFF0E1" w14:textId="77777777" w:rsidR="002535BC" w:rsidRDefault="000976DC">
            <w:pPr>
              <w:pStyle w:val="Compact"/>
            </w:pPr>
            <w:r>
              <w:t>Completely changed the programming model; required re-architecting apps</w:t>
            </w:r>
          </w:p>
        </w:tc>
      </w:tr>
      <w:tr w:rsidR="002535BC" w14:paraId="3302E692" w14:textId="77777777">
        <w:tc>
          <w:tcPr>
            <w:tcW w:w="0" w:type="auto"/>
          </w:tcPr>
          <w:p w14:paraId="4AC95652" w14:textId="77777777" w:rsidR="002535BC" w:rsidRDefault="000976DC">
            <w:pPr>
              <w:pStyle w:val="Compact"/>
            </w:pPr>
            <w:r>
              <w:rPr>
                <w:b/>
                <w:bCs/>
              </w:rPr>
              <w:t>SQE DB2 for i</w:t>
            </w:r>
          </w:p>
        </w:tc>
        <w:tc>
          <w:tcPr>
            <w:tcW w:w="0" w:type="auto"/>
          </w:tcPr>
          <w:p w14:paraId="29015411" w14:textId="77777777" w:rsidR="002535BC" w:rsidRDefault="000976DC">
            <w:pPr>
              <w:pStyle w:val="Compact"/>
            </w:pPr>
            <w:r>
              <w:t>New database engine demanding different design approaches</w:t>
            </w:r>
          </w:p>
        </w:tc>
      </w:tr>
      <w:tr w:rsidR="002535BC" w14:paraId="15A4845B" w14:textId="77777777">
        <w:tc>
          <w:tcPr>
            <w:tcW w:w="0" w:type="auto"/>
          </w:tcPr>
          <w:p w14:paraId="11543314" w14:textId="77777777" w:rsidR="002535BC" w:rsidRDefault="000976DC">
            <w:pPr>
              <w:pStyle w:val="Compact"/>
            </w:pPr>
            <w:r>
              <w:rPr>
                <w:b/>
                <w:bCs/>
              </w:rPr>
              <w:t>New IDE (WDSc → RDi)</w:t>
            </w:r>
          </w:p>
        </w:tc>
        <w:tc>
          <w:tcPr>
            <w:tcW w:w="0" w:type="auto"/>
          </w:tcPr>
          <w:p w14:paraId="6638370B" w14:textId="77777777" w:rsidR="002535BC" w:rsidRDefault="000976DC">
            <w:pPr>
              <w:pStyle w:val="Compact"/>
            </w:pPr>
            <w:r>
              <w:t>Steep learning curve, additional cost, dual-tool maintenance required</w:t>
            </w:r>
          </w:p>
        </w:tc>
      </w:tr>
    </w:tbl>
    <w:p w14:paraId="637644FD" w14:textId="77777777" w:rsidR="002535BC" w:rsidRDefault="000976DC">
      <w:pPr>
        <w:pStyle w:val="BodyText"/>
      </w:pPr>
      <w:r>
        <w:t xml:space="preserve">The platform’s backward compatibility (a hallmark of IBM Rochester’s brilliance) meant apps </w:t>
      </w:r>
      <w:r>
        <w:rPr>
          <w:i/>
          <w:iCs/>
        </w:rPr>
        <w:t>kept running</w:t>
      </w:r>
      <w:r>
        <w:t xml:space="preserve"> — masking the growing technical debt underneath.</w:t>
      </w:r>
    </w:p>
    <w:p w14:paraId="4B418503" w14:textId="77777777" w:rsidR="002535BC" w:rsidRDefault="000976DC">
      <w:pPr>
        <w:pStyle w:val="BodyText"/>
      </w:pPr>
      <w:r>
        <w:rPr>
          <w:b/>
          <w:bCs/>
        </w:rPr>
        <w:t>Your reflection prompt:</w:t>
      </w:r>
      <w:r>
        <w:t xml:space="preserve"> Is technical debt that doesn’t break anything still debt? How do you frame this for a non-technical C-Suite?</w:t>
      </w:r>
    </w:p>
    <w:p w14:paraId="2B989B88" w14:textId="77777777" w:rsidR="002535BC" w:rsidRDefault="000976DC">
      <w:r>
        <w:pict w14:anchorId="6CCF06CF">
          <v:rect id="_x0000_i1031" style="width:0;height:1.5pt" o:hralign="center" o:hrstd="t" o:hr="t"/>
        </w:pict>
      </w:r>
    </w:p>
    <w:bookmarkStart w:id="8" w:name="Xf29b1e97c052d3163351915c549e0c08a894f73"/>
    <w:bookmarkEnd w:id="7"/>
    <w:p w14:paraId="18938946" w14:textId="77777777" w:rsidR="002535BC" w:rsidRDefault="000976DC">
      <w:pPr>
        <w:pStyle w:val="Heading3"/>
      </w:pPr>
      <w:r>
        <w:fldChar w:fldCharType="begin"/>
      </w:r>
      <w:r>
        <w:instrText>HYPERLINK \l "Xf29b1e97c052d3163351915c549e0c08a894f73" \h</w:instrText>
      </w:r>
      <w:r>
        <w:fldChar w:fldCharType="separate"/>
      </w:r>
      <w:r>
        <w:rPr>
          <w:noProof/>
        </w:rPr>
        <w:drawing>
          <wp:inline distT="0" distB="0" distL="0" distR="0" wp14:anchorId="5D452A8F" wp14:editId="417E976D">
            <wp:extent cx="152400" cy="152400"/>
            <wp:effectExtent l="0" t="0" r="0" b="0"/>
            <wp:docPr id="33" name="Picture"/>
            <wp:cNvGraphicFramePr/>
            <a:graphic xmlns:a="http://schemas.openxmlformats.org/drawingml/2006/main">
              <a:graphicData uri="http://schemas.openxmlformats.org/drawingml/2006/picture">
                <pic:pic xmlns:pic="http://schemas.openxmlformats.org/drawingml/2006/picture">
                  <pic:nvPicPr>
                    <pic:cNvPr id="34"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5. SMB Developer Culture — A Distinct Archetype</w:t>
      </w:r>
    </w:p>
    <w:p w14:paraId="6F06063D" w14:textId="77777777" w:rsidR="002535BC" w:rsidRDefault="000976DC">
      <w:pPr>
        <w:pStyle w:val="FirstParagraph"/>
      </w:pPr>
      <w:r>
        <w:t>Marinus paints a portrait that deserves careful reading:</w:t>
      </w:r>
    </w:p>
    <w:p w14:paraId="552A3AC2" w14:textId="77777777" w:rsidR="002535BC" w:rsidRDefault="000976DC">
      <w:pPr>
        <w:pStyle w:val="Compact"/>
        <w:numPr>
          <w:ilvl w:val="0"/>
          <w:numId w:val="7"/>
        </w:numPr>
      </w:pPr>
      <w:r>
        <w:t xml:space="preserve">Tiny teams (0–5 people), doing </w:t>
      </w:r>
      <w:r>
        <w:rPr>
          <w:b/>
          <w:bCs/>
        </w:rPr>
        <w:t>everything</w:t>
      </w:r>
    </w:p>
    <w:p w14:paraId="501D1432" w14:textId="77777777" w:rsidR="002535BC" w:rsidRDefault="000976DC">
      <w:pPr>
        <w:pStyle w:val="Compact"/>
        <w:numPr>
          <w:ilvl w:val="0"/>
          <w:numId w:val="7"/>
        </w:numPr>
      </w:pPr>
      <w:r>
        <w:t xml:space="preserve">Better </w:t>
      </w:r>
      <w:r>
        <w:rPr>
          <w:b/>
          <w:bCs/>
        </w:rPr>
        <w:t>business analysts than programmers</w:t>
      </w:r>
      <w:r>
        <w:t xml:space="preserve"> — they know the business deeply</w:t>
      </w:r>
    </w:p>
    <w:p w14:paraId="069C9557" w14:textId="77777777" w:rsidR="002535BC" w:rsidRDefault="000976DC">
      <w:pPr>
        <w:pStyle w:val="Compact"/>
        <w:numPr>
          <w:ilvl w:val="0"/>
          <w:numId w:val="7"/>
        </w:numPr>
      </w:pPr>
      <w:r>
        <w:t xml:space="preserve">Prioritize </w:t>
      </w:r>
      <w:r>
        <w:rPr>
          <w:b/>
          <w:bCs/>
        </w:rPr>
        <w:t>business results over technical elegance</w:t>
      </w:r>
    </w:p>
    <w:p w14:paraId="4019CF8C" w14:textId="77777777" w:rsidR="002535BC" w:rsidRDefault="000976DC">
      <w:pPr>
        <w:pStyle w:val="Compact"/>
        <w:numPr>
          <w:ilvl w:val="0"/>
          <w:numId w:val="7"/>
        </w:numPr>
      </w:pPr>
      <w:r>
        <w:t>Rarely attend conferences — too much pressure, too little return</w:t>
      </w:r>
    </w:p>
    <w:p w14:paraId="393BF664" w14:textId="77777777" w:rsidR="002535BC" w:rsidRDefault="000976DC">
      <w:pPr>
        <w:pStyle w:val="Compact"/>
        <w:numPr>
          <w:ilvl w:val="0"/>
          <w:numId w:val="7"/>
        </w:numPr>
      </w:pPr>
      <w:r>
        <w:t>Sacrifice personal time routinely; families bear the cost</w:t>
      </w:r>
    </w:p>
    <w:p w14:paraId="4C682D93" w14:textId="77777777" w:rsidR="002535BC" w:rsidRDefault="000976DC">
      <w:pPr>
        <w:pStyle w:val="Compact"/>
        <w:numPr>
          <w:ilvl w:val="0"/>
          <w:numId w:val="7"/>
        </w:numPr>
      </w:pPr>
      <w:r>
        <w:t xml:space="preserve">Prefer </w:t>
      </w:r>
      <w:r>
        <w:rPr>
          <w:b/>
          <w:bCs/>
        </w:rPr>
        <w:t>simplicity, integration, lean stacks, and quick wins</w:t>
      </w:r>
    </w:p>
    <w:p w14:paraId="53A932AC" w14:textId="77777777" w:rsidR="002535BC" w:rsidRDefault="000976DC">
      <w:pPr>
        <w:pStyle w:val="FirstParagraph"/>
      </w:pPr>
      <w:r>
        <w:lastRenderedPageBreak/>
        <w:t xml:space="preserve">This section quotes Timothy Prickett Morgan on IBM i’s success secret: </w:t>
      </w:r>
      <w:r>
        <w:rPr>
          <w:i/>
          <w:iCs/>
        </w:rPr>
        <w:t>“integration for the sake of simplicity.”</w:t>
      </w:r>
    </w:p>
    <w:p w14:paraId="1D09DB42" w14:textId="77777777" w:rsidR="002535BC" w:rsidRDefault="000976DC">
      <w:pPr>
        <w:pStyle w:val="BodyText"/>
      </w:pPr>
      <w:r>
        <w:rPr>
          <w:b/>
          <w:bCs/>
        </w:rPr>
        <w:t>Your reflection prompt:</w:t>
      </w:r>
      <w:r>
        <w:t xml:space="preserve"> What does it mean to truly serve this archetype? What does a “compelling offer” look like to someone who has no margin for experimentation or failure?</w:t>
      </w:r>
    </w:p>
    <w:p w14:paraId="1E2D4699" w14:textId="77777777" w:rsidR="002535BC" w:rsidRDefault="000976DC">
      <w:r>
        <w:pict w14:anchorId="30840485">
          <v:rect id="_x0000_i1032" style="width:0;height:1.5pt" o:hralign="center" o:hrstd="t" o:hr="t"/>
        </w:pict>
      </w:r>
    </w:p>
    <w:bookmarkStart w:id="9" w:name="X343954e7dd7778bd07b129d7a05f2bd79e1f6e6"/>
    <w:bookmarkEnd w:id="8"/>
    <w:p w14:paraId="49FA2A55" w14:textId="77777777" w:rsidR="002535BC" w:rsidRDefault="000976DC">
      <w:pPr>
        <w:pStyle w:val="Heading3"/>
      </w:pPr>
      <w:r>
        <w:fldChar w:fldCharType="begin"/>
      </w:r>
      <w:r>
        <w:instrText>HYPERLINK \l "X343954e7dd7778bd07b129d7a05f2bd79e1f6e6" \h</w:instrText>
      </w:r>
      <w:r>
        <w:fldChar w:fldCharType="separate"/>
      </w:r>
      <w:r>
        <w:rPr>
          <w:noProof/>
        </w:rPr>
        <w:drawing>
          <wp:inline distT="0" distB="0" distL="0" distR="0" wp14:anchorId="53AE2693" wp14:editId="5B0AC173">
            <wp:extent cx="152400" cy="152400"/>
            <wp:effectExtent l="0" t="0" r="0" b="0"/>
            <wp:docPr id="36" name="Picture"/>
            <wp:cNvGraphicFramePr/>
            <a:graphic xmlns:a="http://schemas.openxmlformats.org/drawingml/2006/main">
              <a:graphicData uri="http://schemas.openxmlformats.org/drawingml/2006/picture">
                <pic:pic xmlns:pic="http://schemas.openxmlformats.org/drawingml/2006/picture">
                  <pic:nvPicPr>
                    <pic:cNvPr id="37"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6. The Market Sizing Numbers</w:t>
      </w:r>
    </w:p>
    <w:tbl>
      <w:tblPr>
        <w:tblStyle w:val="Table"/>
        <w:tblW w:w="0" w:type="auto"/>
        <w:tblLook w:val="0020" w:firstRow="1" w:lastRow="0" w:firstColumn="0" w:lastColumn="0" w:noHBand="0" w:noVBand="0"/>
      </w:tblPr>
      <w:tblGrid>
        <w:gridCol w:w="4710"/>
        <w:gridCol w:w="4565"/>
      </w:tblGrid>
      <w:tr w:rsidR="002535BC" w14:paraId="71B248B3" w14:textId="77777777" w:rsidTr="002535BC">
        <w:trPr>
          <w:cnfStyle w:val="100000000000" w:firstRow="1" w:lastRow="0" w:firstColumn="0" w:lastColumn="0" w:oddVBand="0" w:evenVBand="0" w:oddHBand="0" w:evenHBand="0" w:firstRowFirstColumn="0" w:firstRowLastColumn="0" w:lastRowFirstColumn="0" w:lastRowLastColumn="0"/>
          <w:tblHeader/>
        </w:trPr>
        <w:tc>
          <w:tcPr>
            <w:tcW w:w="0" w:type="auto"/>
          </w:tcPr>
          <w:p w14:paraId="1D36D50D" w14:textId="77777777" w:rsidR="002535BC" w:rsidRDefault="000976DC">
            <w:pPr>
              <w:pStyle w:val="Compact"/>
            </w:pPr>
            <w:r>
              <w:t>Metric</w:t>
            </w:r>
          </w:p>
        </w:tc>
        <w:tc>
          <w:tcPr>
            <w:tcW w:w="0" w:type="auto"/>
          </w:tcPr>
          <w:p w14:paraId="5B9802DA" w14:textId="77777777" w:rsidR="002535BC" w:rsidRDefault="000976DC">
            <w:pPr>
              <w:pStyle w:val="Compact"/>
            </w:pPr>
            <w:r>
              <w:t>Figure</w:t>
            </w:r>
          </w:p>
        </w:tc>
      </w:tr>
      <w:tr w:rsidR="002535BC" w14:paraId="59C9C8CD" w14:textId="77777777">
        <w:tc>
          <w:tcPr>
            <w:tcW w:w="0" w:type="auto"/>
          </w:tcPr>
          <w:p w14:paraId="5F9BDD42" w14:textId="77777777" w:rsidR="002535BC" w:rsidRDefault="000976DC">
            <w:pPr>
              <w:pStyle w:val="Compact"/>
            </w:pPr>
            <w:r>
              <w:t>Peak AS/400 installed base (late 1990s)</w:t>
            </w:r>
          </w:p>
        </w:tc>
        <w:tc>
          <w:tcPr>
            <w:tcW w:w="0" w:type="auto"/>
          </w:tcPr>
          <w:p w14:paraId="79840BE8" w14:textId="77777777" w:rsidR="002535BC" w:rsidRDefault="000976DC">
            <w:pPr>
              <w:pStyle w:val="Compact"/>
            </w:pPr>
            <w:r>
              <w:t>~275,000 customers / ~550–600k systems</w:t>
            </w:r>
          </w:p>
        </w:tc>
      </w:tr>
      <w:tr w:rsidR="002535BC" w14:paraId="6DC1FF33" w14:textId="77777777">
        <w:tc>
          <w:tcPr>
            <w:tcW w:w="0" w:type="auto"/>
          </w:tcPr>
          <w:p w14:paraId="2D2954B0" w14:textId="77777777" w:rsidR="002535BC" w:rsidRDefault="000976DC">
            <w:pPr>
              <w:pStyle w:val="Compact"/>
            </w:pPr>
            <w:r>
              <w:t>IBM’s last published customer count (2012)</w:t>
            </w:r>
          </w:p>
        </w:tc>
        <w:tc>
          <w:tcPr>
            <w:tcW w:w="0" w:type="auto"/>
          </w:tcPr>
          <w:p w14:paraId="25A2B337" w14:textId="77777777" w:rsidR="002535BC" w:rsidRDefault="000976DC">
            <w:pPr>
              <w:pStyle w:val="Compact"/>
            </w:pPr>
            <w:r>
              <w:t>150,000+ companies</w:t>
            </w:r>
          </w:p>
        </w:tc>
      </w:tr>
      <w:tr w:rsidR="002535BC" w14:paraId="7255B022" w14:textId="77777777">
        <w:tc>
          <w:tcPr>
            <w:tcW w:w="0" w:type="auto"/>
          </w:tcPr>
          <w:p w14:paraId="46682689" w14:textId="77777777" w:rsidR="002535BC" w:rsidRDefault="000976DC">
            <w:pPr>
              <w:pStyle w:val="Compact"/>
            </w:pPr>
            <w:r>
              <w:t>Industry analyst current estimate</w:t>
            </w:r>
          </w:p>
        </w:tc>
        <w:tc>
          <w:tcPr>
            <w:tcW w:w="0" w:type="auto"/>
          </w:tcPr>
          <w:p w14:paraId="249B3BE6" w14:textId="77777777" w:rsidR="002535BC" w:rsidRDefault="000976DC">
            <w:pPr>
              <w:pStyle w:val="Compact"/>
            </w:pPr>
            <w:r>
              <w:t>~120,000 customers</w:t>
            </w:r>
          </w:p>
        </w:tc>
      </w:tr>
      <w:tr w:rsidR="002535BC" w14:paraId="13BAC972" w14:textId="77777777">
        <w:tc>
          <w:tcPr>
            <w:tcW w:w="0" w:type="auto"/>
          </w:tcPr>
          <w:p w14:paraId="5C52F06D" w14:textId="77777777" w:rsidR="002535BC" w:rsidRDefault="000976DC">
            <w:pPr>
              <w:pStyle w:val="Compact"/>
            </w:pPr>
            <w:r>
              <w:t>Estimated systems still in production</w:t>
            </w:r>
          </w:p>
        </w:tc>
        <w:tc>
          <w:tcPr>
            <w:tcW w:w="0" w:type="auto"/>
          </w:tcPr>
          <w:p w14:paraId="74DE6AF9" w14:textId="77777777" w:rsidR="002535BC" w:rsidRDefault="000976DC">
            <w:pPr>
              <w:pStyle w:val="Compact"/>
            </w:pPr>
            <w:r>
              <w:t>~360,000+</w:t>
            </w:r>
          </w:p>
        </w:tc>
      </w:tr>
      <w:tr w:rsidR="002535BC" w14:paraId="2507D81D" w14:textId="77777777">
        <w:tc>
          <w:tcPr>
            <w:tcW w:w="0" w:type="auto"/>
          </w:tcPr>
          <w:p w14:paraId="7FCEDEF8" w14:textId="77777777" w:rsidR="002535BC" w:rsidRDefault="000976DC">
            <w:pPr>
              <w:pStyle w:val="Compact"/>
            </w:pPr>
            <w:r>
              <w:t>Percentage served by formal market</w:t>
            </w:r>
          </w:p>
        </w:tc>
        <w:tc>
          <w:tcPr>
            <w:tcW w:w="0" w:type="auto"/>
          </w:tcPr>
          <w:p w14:paraId="3E4CD804" w14:textId="77777777" w:rsidR="002535BC" w:rsidRDefault="000976DC">
            <w:pPr>
              <w:pStyle w:val="Compact"/>
            </w:pPr>
            <w:r>
              <w:t>~20%</w:t>
            </w:r>
          </w:p>
        </w:tc>
      </w:tr>
      <w:tr w:rsidR="002535BC" w14:paraId="65A83828" w14:textId="77777777">
        <w:tc>
          <w:tcPr>
            <w:tcW w:w="0" w:type="auto"/>
          </w:tcPr>
          <w:p w14:paraId="38FA8F07" w14:textId="77777777" w:rsidR="002535BC" w:rsidRDefault="000976DC">
            <w:pPr>
              <w:pStyle w:val="Compact"/>
            </w:pPr>
            <w:r>
              <w:t>“Missing masses” estimate</w:t>
            </w:r>
          </w:p>
        </w:tc>
        <w:tc>
          <w:tcPr>
            <w:tcW w:w="0" w:type="auto"/>
          </w:tcPr>
          <w:p w14:paraId="7F4DC5BF" w14:textId="77777777" w:rsidR="002535BC" w:rsidRDefault="000976DC">
            <w:pPr>
              <w:pStyle w:val="Compact"/>
            </w:pPr>
            <w:r>
              <w:t>~80%</w:t>
            </w:r>
          </w:p>
        </w:tc>
      </w:tr>
      <w:tr w:rsidR="002535BC" w14:paraId="25FCCB08" w14:textId="77777777">
        <w:tc>
          <w:tcPr>
            <w:tcW w:w="0" w:type="auto"/>
          </w:tcPr>
          <w:p w14:paraId="017F3578" w14:textId="77777777" w:rsidR="002535BC" w:rsidRDefault="000976DC">
            <w:pPr>
              <w:pStyle w:val="Compact"/>
            </w:pPr>
            <w:r>
              <w:t>Realistic opportunity (installations)</w:t>
            </w:r>
          </w:p>
        </w:tc>
        <w:tc>
          <w:tcPr>
            <w:tcW w:w="0" w:type="auto"/>
          </w:tcPr>
          <w:p w14:paraId="0832F565" w14:textId="77777777" w:rsidR="002535BC" w:rsidRDefault="000976DC">
            <w:pPr>
              <w:pStyle w:val="Compact"/>
            </w:pPr>
            <w:r>
              <w:t>19,200 – 48,000</w:t>
            </w:r>
          </w:p>
        </w:tc>
      </w:tr>
      <w:tr w:rsidR="002535BC" w14:paraId="0195C4ED" w14:textId="77777777">
        <w:tc>
          <w:tcPr>
            <w:tcW w:w="0" w:type="auto"/>
          </w:tcPr>
          <w:p w14:paraId="6E05BEBE" w14:textId="77777777" w:rsidR="002535BC" w:rsidRDefault="000976DC">
            <w:pPr>
              <w:pStyle w:val="Compact"/>
            </w:pPr>
            <w:r>
              <w:t>Initial target revenue threshold</w:t>
            </w:r>
          </w:p>
        </w:tc>
        <w:tc>
          <w:tcPr>
            <w:tcW w:w="0" w:type="auto"/>
          </w:tcPr>
          <w:p w14:paraId="6D73767F" w14:textId="77777777" w:rsidR="002535BC" w:rsidRDefault="000976DC">
            <w:pPr>
              <w:pStyle w:val="Compact"/>
            </w:pPr>
            <w:r>
              <w:t>US$75M annual turnover</w:t>
            </w:r>
          </w:p>
        </w:tc>
      </w:tr>
    </w:tbl>
    <w:p w14:paraId="69B06308" w14:textId="77777777" w:rsidR="002535BC" w:rsidRDefault="000976DC">
      <w:pPr>
        <w:pStyle w:val="BodyText"/>
      </w:pPr>
      <w:r>
        <w:rPr>
          <w:b/>
          <w:bCs/>
        </w:rPr>
        <w:t>Your reflection prompt:</w:t>
      </w:r>
      <w:r>
        <w:t xml:space="preserve"> Are these numbers credible in your experience? What independent data could validate or challenge them?</w:t>
      </w:r>
    </w:p>
    <w:p w14:paraId="2ED406D2" w14:textId="77777777" w:rsidR="002535BC" w:rsidRDefault="000976DC">
      <w:r>
        <w:pict w14:anchorId="46AC2FC5">
          <v:rect id="_x0000_i1033" style="width:0;height:1.5pt" o:hralign="center" o:hrstd="t" o:hr="t"/>
        </w:pict>
      </w:r>
    </w:p>
    <w:bookmarkStart w:id="10" w:name="X10bbb60cf9f80e9ca2793a6c6582037db55ce68"/>
    <w:bookmarkEnd w:id="9"/>
    <w:p w14:paraId="17166E39" w14:textId="77777777" w:rsidR="002535BC" w:rsidRDefault="000976DC">
      <w:pPr>
        <w:pStyle w:val="Heading3"/>
      </w:pPr>
      <w:r>
        <w:fldChar w:fldCharType="begin"/>
      </w:r>
      <w:r>
        <w:instrText>HYPERLINK \l "X10bbb60cf9f80e9ca2793a6c6582037db55ce68" \h</w:instrText>
      </w:r>
      <w:r>
        <w:fldChar w:fldCharType="separate"/>
      </w:r>
      <w:r>
        <w:rPr>
          <w:noProof/>
        </w:rPr>
        <w:drawing>
          <wp:inline distT="0" distB="0" distL="0" distR="0" wp14:anchorId="56B16DFC" wp14:editId="6FD53915">
            <wp:extent cx="152400" cy="152400"/>
            <wp:effectExtent l="0" t="0" r="0" b="0"/>
            <wp:docPr id="39" name="Picture"/>
            <wp:cNvGraphicFramePr/>
            <a:graphic xmlns:a="http://schemas.openxmlformats.org/drawingml/2006/main">
              <a:graphicData uri="http://schemas.openxmlformats.org/drawingml/2006/picture">
                <pic:pic xmlns:pic="http://schemas.openxmlformats.org/drawingml/2006/picture">
                  <pic:nvPicPr>
                    <pic:cNvPr id="40"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7. What intERPrise Actually Is</w:t>
      </w:r>
    </w:p>
    <w:p w14:paraId="528F4291" w14:textId="77777777" w:rsidR="002535BC" w:rsidRDefault="000976DC">
      <w:pPr>
        <w:pStyle w:val="Compact"/>
        <w:numPr>
          <w:ilvl w:val="0"/>
          <w:numId w:val="8"/>
        </w:numPr>
      </w:pPr>
      <w:r>
        <w:t xml:space="preserve">An </w:t>
      </w:r>
      <w:r>
        <w:rPr>
          <w:b/>
          <w:bCs/>
        </w:rPr>
        <w:t>open-source ERP blueprint</w:t>
      </w:r>
      <w:r>
        <w:t xml:space="preserve"> (Apache 2.0 license) with full source code</w:t>
      </w:r>
    </w:p>
    <w:p w14:paraId="5CF9A7EA" w14:textId="77777777" w:rsidR="002535BC" w:rsidRDefault="000976DC">
      <w:pPr>
        <w:pStyle w:val="Compact"/>
        <w:numPr>
          <w:ilvl w:val="0"/>
          <w:numId w:val="8"/>
        </w:numPr>
      </w:pPr>
      <w:r>
        <w:t>Covers: User enrollment, RBAC, General Ledger, Accounts Payable, Accounts Receivable</w:t>
      </w:r>
    </w:p>
    <w:p w14:paraId="70ABA3C8" w14:textId="77777777" w:rsidR="002535BC" w:rsidRDefault="000976DC">
      <w:pPr>
        <w:pStyle w:val="Compact"/>
        <w:numPr>
          <w:ilvl w:val="0"/>
          <w:numId w:val="8"/>
        </w:numPr>
      </w:pPr>
      <w:r>
        <w:t xml:space="preserve">Designed to be </w:t>
      </w:r>
      <w:r>
        <w:rPr>
          <w:b/>
          <w:bCs/>
        </w:rPr>
        <w:t>deconstructed and reassembled</w:t>
      </w:r>
      <w:r>
        <w:t xml:space="preserve"> by SMB developers in a safe, non-production environment</w:t>
      </w:r>
    </w:p>
    <w:p w14:paraId="03B71F74" w14:textId="77777777" w:rsidR="002535BC" w:rsidRDefault="000976DC">
      <w:pPr>
        <w:pStyle w:val="Compact"/>
        <w:numPr>
          <w:ilvl w:val="0"/>
          <w:numId w:val="8"/>
        </w:numPr>
      </w:pPr>
      <w:r>
        <w:t>Built on authentic ILE, data-centric DB2 for i, separation of concerns (MVVM), JSON payloads</w:t>
      </w:r>
    </w:p>
    <w:p w14:paraId="233E58EB" w14:textId="77777777" w:rsidR="002535BC" w:rsidRDefault="000976DC">
      <w:pPr>
        <w:pStyle w:val="Compact"/>
        <w:numPr>
          <w:ilvl w:val="0"/>
          <w:numId w:val="8"/>
        </w:numPr>
      </w:pPr>
      <w:r>
        <w:rPr>
          <w:b/>
          <w:bCs/>
        </w:rPr>
        <w:t>No dependencies on proprietary TEMBO tools</w:t>
      </w:r>
      <w:r>
        <w:t xml:space="preserve"> — works with standard IBM development tooling</w:t>
      </w:r>
    </w:p>
    <w:p w14:paraId="29E5F68E" w14:textId="77777777" w:rsidR="002535BC" w:rsidRDefault="000976DC">
      <w:pPr>
        <w:pStyle w:val="Compact"/>
        <w:numPr>
          <w:ilvl w:val="0"/>
          <w:numId w:val="8"/>
        </w:numPr>
      </w:pPr>
      <w:r>
        <w:t>Paired with: self-paced curriculum, weekly workshops, roadmap guidance</w:t>
      </w:r>
    </w:p>
    <w:p w14:paraId="76306E7D" w14:textId="77777777" w:rsidR="002535BC" w:rsidRDefault="000976DC">
      <w:pPr>
        <w:pStyle w:val="Compact"/>
        <w:numPr>
          <w:ilvl w:val="0"/>
          <w:numId w:val="8"/>
        </w:numPr>
      </w:pPr>
      <w:r>
        <w:t xml:space="preserve">Target announcement: </w:t>
      </w:r>
      <w:r>
        <w:rPr>
          <w:b/>
          <w:bCs/>
        </w:rPr>
        <w:t>May 2026</w:t>
      </w:r>
      <w:r>
        <w:t xml:space="preserve"> (GitHub repo)</w:t>
      </w:r>
    </w:p>
    <w:p w14:paraId="3B0BA77F" w14:textId="77777777" w:rsidR="002535BC" w:rsidRDefault="000976DC">
      <w:pPr>
        <w:pStyle w:val="FirstParagraph"/>
      </w:pPr>
      <w:r>
        <w:rPr>
          <w:b/>
          <w:bCs/>
        </w:rPr>
        <w:t>Your reflection prompt:</w:t>
      </w:r>
      <w:r>
        <w:t xml:space="preserve"> Does the choice of financial modules (GL, AP, AR) as the entry point make strategic sense? What would be your first instinct on what’s missing?</w:t>
      </w:r>
    </w:p>
    <w:p w14:paraId="4925972A" w14:textId="77777777" w:rsidR="002535BC" w:rsidRDefault="000976DC">
      <w:r>
        <w:pict w14:anchorId="61FBC0FB">
          <v:rect id="_x0000_i1034" style="width:0;height:1.5pt" o:hralign="center" o:hrstd="t" o:hr="t"/>
        </w:pict>
      </w:r>
    </w:p>
    <w:bookmarkStart w:id="11" w:name="Xda5f2519b75e124a86a3af1cf47f4ec8f3558d2"/>
    <w:bookmarkEnd w:id="10"/>
    <w:p w14:paraId="422512E7" w14:textId="77777777" w:rsidR="002535BC" w:rsidRDefault="000976DC">
      <w:pPr>
        <w:pStyle w:val="Heading3"/>
      </w:pPr>
      <w:r>
        <w:lastRenderedPageBreak/>
        <w:fldChar w:fldCharType="begin"/>
      </w:r>
      <w:r>
        <w:instrText>HYPERLINK \l "Xda5f2519b75e124a86a3af1cf47f4ec8f3558d2" \h</w:instrText>
      </w:r>
      <w:r>
        <w:fldChar w:fldCharType="separate"/>
      </w:r>
      <w:r>
        <w:rPr>
          <w:noProof/>
        </w:rPr>
        <w:drawing>
          <wp:inline distT="0" distB="0" distL="0" distR="0" wp14:anchorId="12273BD2" wp14:editId="062EAA94">
            <wp:extent cx="152400" cy="152400"/>
            <wp:effectExtent l="0" t="0" r="0" b="0"/>
            <wp:docPr id="42" name="Picture"/>
            <wp:cNvGraphicFramePr/>
            <a:graphic xmlns:a="http://schemas.openxmlformats.org/drawingml/2006/main">
              <a:graphicData uri="http://schemas.openxmlformats.org/drawingml/2006/picture">
                <pic:pic xmlns:pic="http://schemas.openxmlformats.org/drawingml/2006/picture">
                  <pic:nvPicPr>
                    <pic:cNvPr id="43"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8. Barriers to Engagement — The Hard Truth</w:t>
      </w:r>
    </w:p>
    <w:p w14:paraId="2353104C" w14:textId="77777777" w:rsidR="002535BC" w:rsidRDefault="000976DC">
      <w:pPr>
        <w:pStyle w:val="FirstParagraph"/>
      </w:pPr>
      <w:r>
        <w:t>Marinus is refreshingly candid about the obstacles:</w:t>
      </w:r>
    </w:p>
    <w:p w14:paraId="44A4E80F" w14:textId="77777777" w:rsidR="002535BC" w:rsidRDefault="000976DC">
      <w:pPr>
        <w:pStyle w:val="Compact"/>
        <w:numPr>
          <w:ilvl w:val="0"/>
          <w:numId w:val="9"/>
        </w:numPr>
      </w:pPr>
      <w:r>
        <w:rPr>
          <w:b/>
          <w:bCs/>
        </w:rPr>
        <w:t>Decades of cynicism</w:t>
      </w:r>
      <w:r>
        <w:t>: SMBs have been lectured, belittled, and ignored</w:t>
      </w:r>
    </w:p>
    <w:p w14:paraId="056766FD" w14:textId="77777777" w:rsidR="002535BC" w:rsidRDefault="000976DC">
      <w:pPr>
        <w:pStyle w:val="Compact"/>
        <w:numPr>
          <w:ilvl w:val="0"/>
          <w:numId w:val="9"/>
        </w:numPr>
      </w:pPr>
      <w:r>
        <w:rPr>
          <w:b/>
          <w:bCs/>
        </w:rPr>
        <w:t>No reliable contact database</w:t>
      </w:r>
      <w:r>
        <w:t xml:space="preserve"> exists for the installed base (ALL400s is a starting point, not a solution)</w:t>
      </w:r>
    </w:p>
    <w:p w14:paraId="6AE69BB9" w14:textId="77777777" w:rsidR="002535BC" w:rsidRDefault="000976DC">
      <w:pPr>
        <w:pStyle w:val="Compact"/>
        <w:numPr>
          <w:ilvl w:val="0"/>
          <w:numId w:val="9"/>
        </w:numPr>
      </w:pPr>
      <w:r>
        <w:rPr>
          <w:b/>
          <w:bCs/>
        </w:rPr>
        <w:t>Modern tools demand modern hardware</w:t>
      </w:r>
      <w:r>
        <w:t xml:space="preserve"> — which SMBs see as wasteful capital spend</w:t>
      </w:r>
    </w:p>
    <w:p w14:paraId="2BF101AB" w14:textId="77777777" w:rsidR="002535BC" w:rsidRDefault="000976DC">
      <w:pPr>
        <w:pStyle w:val="Compact"/>
        <w:numPr>
          <w:ilvl w:val="0"/>
          <w:numId w:val="9"/>
        </w:numPr>
      </w:pPr>
      <w:r>
        <w:rPr>
          <w:b/>
          <w:bCs/>
        </w:rPr>
        <w:t>Short-term tactical solutions</w:t>
      </w:r>
      <w:r>
        <w:t xml:space="preserve"> (screen-scraping, microservices over legacy) can </w:t>
      </w:r>
      <w:r>
        <w:rPr>
          <w:i/>
          <w:iCs/>
        </w:rPr>
        <w:t>set technical debt in stone</w:t>
      </w:r>
    </w:p>
    <w:p w14:paraId="57D9C188" w14:textId="77777777" w:rsidR="002535BC" w:rsidRDefault="000976DC">
      <w:pPr>
        <w:pStyle w:val="Compact"/>
        <w:numPr>
          <w:ilvl w:val="0"/>
          <w:numId w:val="9"/>
        </w:numPr>
      </w:pPr>
      <w:r>
        <w:rPr>
          <w:b/>
          <w:bCs/>
        </w:rPr>
        <w:t>Automated code translation</w:t>
      </w:r>
      <w:r>
        <w:t xml:space="preserve"> to modern syntax without re-architecting = “unmitigated disaster” (especially Synon 2E / CA2E)</w:t>
      </w:r>
    </w:p>
    <w:p w14:paraId="57E25206" w14:textId="77777777" w:rsidR="002535BC" w:rsidRDefault="000976DC">
      <w:pPr>
        <w:pStyle w:val="FirstParagraph"/>
      </w:pPr>
      <w:r>
        <w:rPr>
          <w:b/>
          <w:bCs/>
        </w:rPr>
        <w:t>Your reflection prompt:</w:t>
      </w:r>
      <w:r>
        <w:t xml:space="preserve"> What’s your experience with screen-scraping / API-wrapping legacy systems? Do you agree with Marinus’s strong caution?</w:t>
      </w:r>
    </w:p>
    <w:p w14:paraId="2071A54B" w14:textId="77777777" w:rsidR="002535BC" w:rsidRDefault="000976DC">
      <w:r>
        <w:pict w14:anchorId="4752A796">
          <v:rect id="_x0000_i1035" style="width:0;height:1.5pt" o:hralign="center" o:hrstd="t" o:hr="t"/>
        </w:pict>
      </w:r>
    </w:p>
    <w:bookmarkStart w:id="12" w:name="X47b7c44e341f7eccf487ad54bb36b51a18dc7f1"/>
    <w:bookmarkEnd w:id="3"/>
    <w:bookmarkEnd w:id="11"/>
    <w:p w14:paraId="42DF046A" w14:textId="77777777" w:rsidR="002535BC" w:rsidRDefault="000976DC">
      <w:pPr>
        <w:pStyle w:val="Heading2"/>
      </w:pPr>
      <w:r>
        <w:fldChar w:fldCharType="begin"/>
      </w:r>
      <w:r>
        <w:instrText>HYPERLINK \l "X47b7c44e341f7eccf487ad54bb36b51a18dc7f1" \h</w:instrText>
      </w:r>
      <w:r>
        <w:fldChar w:fldCharType="separate"/>
      </w:r>
      <w:r>
        <w:rPr>
          <w:noProof/>
        </w:rPr>
        <w:drawing>
          <wp:inline distT="0" distB="0" distL="0" distR="0" wp14:anchorId="48F40BB2" wp14:editId="55717C36">
            <wp:extent cx="152400" cy="152400"/>
            <wp:effectExtent l="0" t="0" r="0" b="0"/>
            <wp:docPr id="46" name="Picture"/>
            <wp:cNvGraphicFramePr/>
            <a:graphic xmlns:a="http://schemas.openxmlformats.org/drawingml/2006/main">
              <a:graphicData uri="http://schemas.openxmlformats.org/drawingml/2006/picture">
                <pic:pic xmlns:pic="http://schemas.openxmlformats.org/drawingml/2006/picture">
                  <pic:nvPicPr>
                    <pic:cNvPr id="47"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Most Compelling Sections</w:t>
      </w:r>
    </w:p>
    <w:bookmarkStart w:id="13" w:name="X12a5f7a686be6acbf23511c0ed1fe6e4b32381a"/>
    <w:p w14:paraId="00B92C01" w14:textId="77777777" w:rsidR="002535BC" w:rsidRDefault="000976DC">
      <w:pPr>
        <w:pStyle w:val="Heading3"/>
      </w:pPr>
      <w:r>
        <w:fldChar w:fldCharType="begin"/>
      </w:r>
      <w:r>
        <w:instrText>HYPERLINK \l "X12a5f7a686be6acbf23511c0ed1fe6e4b32381a" \h</w:instrText>
      </w:r>
      <w:r>
        <w:fldChar w:fldCharType="separate"/>
      </w:r>
      <w:r>
        <w:rPr>
          <w:noProof/>
        </w:rPr>
        <w:drawing>
          <wp:inline distT="0" distB="0" distL="0" distR="0" wp14:anchorId="7DB70791" wp14:editId="71AA51B7">
            <wp:extent cx="152400" cy="152400"/>
            <wp:effectExtent l="0" t="0" r="0" b="0"/>
            <wp:docPr id="48" name="Picture"/>
            <wp:cNvGraphicFramePr/>
            <a:graphic xmlns:a="http://schemas.openxmlformats.org/drawingml/2006/main">
              <a:graphicData uri="http://schemas.openxmlformats.org/drawingml/2006/picture">
                <pic:pic xmlns:pic="http://schemas.openxmlformats.org/drawingml/2006/picture">
                  <pic:nvPicPr>
                    <pic:cNvPr id="49"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“Why did SMBs not stay current?” (The Emotional Core)</w:t>
      </w:r>
    </w:p>
    <w:p w14:paraId="5AD9DF81" w14:textId="77777777" w:rsidR="002535BC" w:rsidRDefault="000976DC">
      <w:pPr>
        <w:pStyle w:val="FirstParagraph"/>
      </w:pPr>
      <w:r>
        <w:t xml:space="preserve">This section is the heart of the article. It reframes the entire conversation from </w:t>
      </w:r>
      <w:r>
        <w:rPr>
          <w:b/>
          <w:bCs/>
        </w:rPr>
        <w:t>judgment to empathy</w:t>
      </w:r>
      <w:r>
        <w:t xml:space="preserve">. The prevailing attitude of belittling SMB developers is called out directly as destructive and counterproductive. This is where Marinus makes his most important argument: </w:t>
      </w:r>
      <w:r>
        <w:rPr>
          <w:i/>
          <w:iCs/>
        </w:rPr>
        <w:t>the situation was done to them, not by them.</w:t>
      </w:r>
    </w:p>
    <w:bookmarkStart w:id="14" w:name="X7bcb5fec82f89b61ef1cf61d96d3699eb12a822"/>
    <w:bookmarkEnd w:id="13"/>
    <w:p w14:paraId="73603A18" w14:textId="77777777" w:rsidR="002535BC" w:rsidRDefault="000976DC">
      <w:pPr>
        <w:pStyle w:val="Heading3"/>
      </w:pPr>
      <w:r>
        <w:fldChar w:fldCharType="begin"/>
      </w:r>
      <w:r>
        <w:instrText>HYPERLINK \l "X7bcb5fec82f89b61ef1cf61d96d3699eb12a822" \h</w:instrText>
      </w:r>
      <w:r>
        <w:fldChar w:fldCharType="separate"/>
      </w:r>
      <w:r>
        <w:rPr>
          <w:noProof/>
        </w:rPr>
        <w:drawing>
          <wp:inline distT="0" distB="0" distL="0" distR="0" wp14:anchorId="2E0DC60E" wp14:editId="6173C234">
            <wp:extent cx="152400" cy="152400"/>
            <wp:effectExtent l="0" t="0" r="0" b="0"/>
            <wp:docPr id="51" name="Picture"/>
            <wp:cNvGraphicFramePr/>
            <a:graphic xmlns:a="http://schemas.openxmlformats.org/drawingml/2006/main">
              <a:graphicData uri="http://schemas.openxmlformats.org/drawingml/2006/picture">
                <pic:pic xmlns:pic="http://schemas.openxmlformats.org/drawingml/2006/picture">
                  <pic:nvPicPr>
                    <pic:cNvPr id="52"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The IBM SE Story (Personal Opening)</w:t>
      </w:r>
    </w:p>
    <w:p w14:paraId="4DA1950B" w14:textId="77777777" w:rsidR="002535BC" w:rsidRDefault="000976DC">
      <w:pPr>
        <w:pStyle w:val="FirstParagraph"/>
      </w:pPr>
      <w:r>
        <w:t>The anecdote about John Schiff — later a JD Edwards founding architect — visiting a small three-person installation and freely providing code and guidance — is a vivid illustration of what was lost. It’s the kind of concrete human detail that makes the abstract argument tangible.</w:t>
      </w:r>
    </w:p>
    <w:bookmarkStart w:id="15" w:name="X97b649f12072f01225189f017c28a72b2f26204"/>
    <w:bookmarkEnd w:id="14"/>
    <w:p w14:paraId="4ADF973E" w14:textId="77777777" w:rsidR="002535BC" w:rsidRDefault="000976DC">
      <w:pPr>
        <w:pStyle w:val="Heading3"/>
      </w:pPr>
      <w:r>
        <w:fldChar w:fldCharType="begin"/>
      </w:r>
      <w:r>
        <w:instrText>HYPERLINK \l "X97b649f12072f01225189f017c28a72b2f26204" \h</w:instrText>
      </w:r>
      <w:r>
        <w:fldChar w:fldCharType="separate"/>
      </w:r>
      <w:r>
        <w:rPr>
          <w:noProof/>
        </w:rPr>
        <w:drawing>
          <wp:inline distT="0" distB="0" distL="0" distR="0" wp14:anchorId="30EE2ACB" wp14:editId="3BEC88C9">
            <wp:extent cx="152400" cy="152400"/>
            <wp:effectExtent l="0" t="0" r="0" b="0"/>
            <wp:docPr id="54" name="Picture"/>
            <wp:cNvGraphicFramePr/>
            <a:graphic xmlns:a="http://schemas.openxmlformats.org/drawingml/2006/main">
              <a:graphicData uri="http://schemas.openxmlformats.org/drawingml/2006/picture">
                <pic:pic xmlns:pic="http://schemas.openxmlformats.org/drawingml/2006/picture">
                  <pic:nvPicPr>
                    <pic:cNvPr id="55"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The Devil’s Advocate Answer</w:t>
      </w:r>
    </w:p>
    <w:p w14:paraId="7EBA13F7" w14:textId="77777777" w:rsidR="002535BC" w:rsidRDefault="000976DC">
      <w:pPr>
        <w:pStyle w:val="FirstParagraph"/>
      </w:pPr>
      <w:r>
        <w:t>The direct answer to the provocative opening question is well-constructed:</w:t>
      </w:r>
    </w:p>
    <w:p w14:paraId="439CE0E4" w14:textId="77777777" w:rsidR="002535BC" w:rsidRDefault="000976DC">
      <w:pPr>
        <w:pStyle w:val="BlockText"/>
      </w:pPr>
      <w:r>
        <w:rPr>
          <w:i/>
          <w:iCs/>
        </w:rPr>
        <w:t>“They care deeply for their systems but had to find alternative ways… the formal distribution channel was not interested in investing the hard yards to partner with them.”</w:t>
      </w:r>
    </w:p>
    <w:p w14:paraId="746C75E6" w14:textId="77777777" w:rsidR="002535BC" w:rsidRDefault="000976DC">
      <w:pPr>
        <w:pStyle w:val="FirstParagraph"/>
      </w:pPr>
      <w:r>
        <w:t xml:space="preserve">This reframe — from </w:t>
      </w:r>
      <w:r>
        <w:rPr>
          <w:i/>
          <w:iCs/>
        </w:rPr>
        <w:t>won’t pay</w:t>
      </w:r>
      <w:r>
        <w:t xml:space="preserve"> to </w:t>
      </w:r>
      <w:r>
        <w:rPr>
          <w:i/>
          <w:iCs/>
        </w:rPr>
        <w:t>weren’t served</w:t>
      </w:r>
      <w:r>
        <w:t xml:space="preserve"> — is the intellectual pivot of the entire piece.</w:t>
      </w:r>
    </w:p>
    <w:bookmarkStart w:id="16" w:name="X2ccd664cd1187b8a6285a8c29743f3ea469d6af"/>
    <w:bookmarkEnd w:id="15"/>
    <w:p w14:paraId="7FF3E80B" w14:textId="77777777" w:rsidR="002535BC" w:rsidRDefault="000976DC">
      <w:pPr>
        <w:pStyle w:val="Heading3"/>
      </w:pPr>
      <w:r>
        <w:lastRenderedPageBreak/>
        <w:fldChar w:fldCharType="begin"/>
      </w:r>
      <w:r>
        <w:instrText>HYPERLINK \l "X2ccd664cd1187b8a6285a8c29743f3ea469d6af" \h</w:instrText>
      </w:r>
      <w:r>
        <w:fldChar w:fldCharType="separate"/>
      </w:r>
      <w:r>
        <w:rPr>
          <w:noProof/>
        </w:rPr>
        <w:drawing>
          <wp:inline distT="0" distB="0" distL="0" distR="0" wp14:anchorId="7C485517" wp14:editId="7DF55DE5">
            <wp:extent cx="152400" cy="152400"/>
            <wp:effectExtent l="0" t="0" r="0" b="0"/>
            <wp:docPr id="57" name="Picture"/>
            <wp:cNvGraphicFramePr/>
            <a:graphic xmlns:a="http://schemas.openxmlformats.org/drawingml/2006/main">
              <a:graphicData uri="http://schemas.openxmlformats.org/drawingml/2006/picture">
                <pic:pic xmlns:pic="http://schemas.openxmlformats.org/drawingml/2006/picture">
                  <pic:nvPicPr>
                    <pic:cNvPr id="58"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The Long Tail Reference</w:t>
      </w:r>
    </w:p>
    <w:p w14:paraId="4B19F8FD" w14:textId="77777777" w:rsidR="002535BC" w:rsidRDefault="000976DC">
      <w:pPr>
        <w:pStyle w:val="FirstParagraph"/>
      </w:pPr>
      <w:r>
        <w:t xml:space="preserve">The invocation of Chris Anderson’s </w:t>
      </w:r>
      <w:r>
        <w:rPr>
          <w:i/>
          <w:iCs/>
        </w:rPr>
        <w:t>The Long Tail</w:t>
      </w:r>
      <w:r>
        <w:t xml:space="preserve"> is strategically powerful. It reframes the SMB segment from “too small to matter” to “the aggregate opportunity that dwarfs the head.” This deserves deeper exploration in your response.</w:t>
      </w:r>
    </w:p>
    <w:p w14:paraId="3E71D9A7" w14:textId="77777777" w:rsidR="002535BC" w:rsidRDefault="000976DC">
      <w:r>
        <w:pict w14:anchorId="492014D9">
          <v:rect id="_x0000_i1036" style="width:0;height:1.5pt" o:hralign="center" o:hrstd="t" o:hr="t"/>
        </w:pict>
      </w:r>
    </w:p>
    <w:bookmarkStart w:id="17" w:name="X53a7f0ee7cf328d829137f5fd970cf35246bd96"/>
    <w:bookmarkEnd w:id="12"/>
    <w:bookmarkEnd w:id="16"/>
    <w:p w14:paraId="30B7AA0B" w14:textId="77777777" w:rsidR="002535BC" w:rsidRDefault="000976DC">
      <w:pPr>
        <w:pStyle w:val="Heading2"/>
      </w:pPr>
      <w:r>
        <w:fldChar w:fldCharType="begin"/>
      </w:r>
      <w:r>
        <w:instrText>HYPERLINK \l "X53a7f0ee7cf328d829137f5fd970cf35246bd96" \h</w:instrText>
      </w:r>
      <w:r>
        <w:fldChar w:fldCharType="separate"/>
      </w:r>
      <w:r>
        <w:rPr>
          <w:noProof/>
        </w:rPr>
        <w:drawing>
          <wp:inline distT="0" distB="0" distL="0" distR="0" wp14:anchorId="6ECCB001" wp14:editId="3D891B23">
            <wp:extent cx="152400" cy="152400"/>
            <wp:effectExtent l="0" t="0" r="0" b="0"/>
            <wp:docPr id="61" name="Picture"/>
            <wp:cNvGraphicFramePr/>
            <a:graphic xmlns:a="http://schemas.openxmlformats.org/drawingml/2006/main">
              <a:graphicData uri="http://schemas.openxmlformats.org/drawingml/2006/picture">
                <pic:pic xmlns:pic="http://schemas.openxmlformats.org/drawingml/2006/picture">
                  <pic:nvPicPr>
                    <pic:cNvPr id="62"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Questions Worth Raising in Your Response</w:t>
      </w:r>
    </w:p>
    <w:p w14:paraId="110341B0" w14:textId="77777777" w:rsidR="002535BC" w:rsidRDefault="000976DC">
      <w:pPr>
        <w:pStyle w:val="Compact"/>
        <w:numPr>
          <w:ilvl w:val="0"/>
          <w:numId w:val="10"/>
        </w:numPr>
      </w:pPr>
      <w:r>
        <w:rPr>
          <w:b/>
          <w:bCs/>
        </w:rPr>
        <w:t>What is the realistic conversion rate?</w:t>
      </w:r>
      <w:r>
        <w:t xml:space="preserve"> Of the 19,200–48,000 addressable installations, what percentage would realistically engage within 3 years — and what does the business case look like per installation?</w:t>
      </w:r>
    </w:p>
    <w:p w14:paraId="44FBC0AC" w14:textId="77777777" w:rsidR="002535BC" w:rsidRDefault="000976DC">
      <w:pPr>
        <w:pStyle w:val="Compact"/>
        <w:numPr>
          <w:ilvl w:val="0"/>
          <w:numId w:val="10"/>
        </w:numPr>
      </w:pPr>
      <w:r>
        <w:rPr>
          <w:b/>
          <w:bCs/>
        </w:rPr>
        <w:t>Who pays for the “SE equivalent” support?</w:t>
      </w:r>
      <w:r>
        <w:t xml:space="preserve"> Marinus describes weekly workshops, curriculum, and guidance modeled after the 1980s IBM SE relationship. Who funds this at scale, and is the monthly rental model sufficient?</w:t>
      </w:r>
    </w:p>
    <w:p w14:paraId="091B681F" w14:textId="77777777" w:rsidR="002535BC" w:rsidRDefault="000976DC">
      <w:pPr>
        <w:pStyle w:val="Compact"/>
        <w:numPr>
          <w:ilvl w:val="0"/>
          <w:numId w:val="10"/>
        </w:numPr>
      </w:pPr>
      <w:r>
        <w:rPr>
          <w:b/>
          <w:bCs/>
        </w:rPr>
        <w:t>Is the May 2026 timeline achievable?</w:t>
      </w:r>
      <w:r>
        <w:t xml:space="preserve"> And what happens if the code repo launches to silence — how does TEMBO interpret a muted response?</w:t>
      </w:r>
    </w:p>
    <w:p w14:paraId="7B76145F" w14:textId="77777777" w:rsidR="002535BC" w:rsidRDefault="000976DC">
      <w:pPr>
        <w:pStyle w:val="Compact"/>
        <w:numPr>
          <w:ilvl w:val="0"/>
          <w:numId w:val="10"/>
        </w:numPr>
      </w:pPr>
      <w:r>
        <w:rPr>
          <w:b/>
          <w:bCs/>
        </w:rPr>
        <w:t>The modernization-in-place vs. greenfield tension:</w:t>
      </w:r>
      <w:r>
        <w:t xml:space="preserve"> VijaiGarg’s comment that software is only 20% of TCO (with 80% in process change and retraining) is profound. Does intERPrise adequately account for the non-technical transformation burden?</w:t>
      </w:r>
    </w:p>
    <w:p w14:paraId="7BF879AB" w14:textId="77777777" w:rsidR="002535BC" w:rsidRDefault="000976DC">
      <w:pPr>
        <w:pStyle w:val="Compact"/>
        <w:numPr>
          <w:ilvl w:val="0"/>
          <w:numId w:val="10"/>
        </w:numPr>
      </w:pPr>
      <w:r>
        <w:rPr>
          <w:b/>
          <w:bCs/>
        </w:rPr>
        <w:t>The echo chamber is self-aware now.</w:t>
      </w:r>
      <w:r>
        <w:t xml:space="preserve"> Marinus is writing this in a forum populated largely by “knowns.” How does the message actually reach the unknowns?</w:t>
      </w:r>
    </w:p>
    <w:p w14:paraId="06608A63" w14:textId="77777777" w:rsidR="002535BC" w:rsidRDefault="000976DC">
      <w:pPr>
        <w:pStyle w:val="Compact"/>
        <w:numPr>
          <w:ilvl w:val="0"/>
          <w:numId w:val="10"/>
        </w:numPr>
      </w:pPr>
      <w:r>
        <w:rPr>
          <w:b/>
          <w:bCs/>
        </w:rPr>
        <w:t>What role does AI play?</w:t>
      </w:r>
      <w:r>
        <w:t xml:space="preserve"> The article briefly mentions cognitive computing / AI as accelerating urgency. Is there a more developed thesis here about how AI changes the calculus for IBM i modernization?</w:t>
      </w:r>
    </w:p>
    <w:p w14:paraId="40A9B5C8" w14:textId="77777777" w:rsidR="002535BC" w:rsidRDefault="000976DC">
      <w:r>
        <w:pict w14:anchorId="4FE2E275">
          <v:rect id="_x0000_i1037" style="width:0;height:1.5pt" o:hralign="center" o:hrstd="t" o:hr="t"/>
        </w:pict>
      </w:r>
    </w:p>
    <w:bookmarkStart w:id="18" w:name="Xee27bb96bb2279355254fbda7864085f5a11d7a"/>
    <w:bookmarkEnd w:id="17"/>
    <w:p w14:paraId="49AF8DE0" w14:textId="77777777" w:rsidR="002535BC" w:rsidRDefault="000976DC">
      <w:pPr>
        <w:pStyle w:val="Heading2"/>
      </w:pPr>
      <w:r>
        <w:fldChar w:fldCharType="begin"/>
      </w:r>
      <w:r>
        <w:instrText>HYPERLINK \l "Xee27bb96bb2279355254fbda7864085f5a11d7a" \h</w:instrText>
      </w:r>
      <w:r>
        <w:fldChar w:fldCharType="separate"/>
      </w:r>
      <w:r>
        <w:rPr>
          <w:noProof/>
        </w:rPr>
        <w:drawing>
          <wp:inline distT="0" distB="0" distL="0" distR="0" wp14:anchorId="4E168D0D" wp14:editId="522E10CD">
            <wp:extent cx="152400" cy="152400"/>
            <wp:effectExtent l="0" t="0" r="0" b="0"/>
            <wp:docPr id="64" name="Picture"/>
            <wp:cNvGraphicFramePr/>
            <a:graphic xmlns:a="http://schemas.openxmlformats.org/drawingml/2006/main">
              <a:graphicData uri="http://schemas.openxmlformats.org/drawingml/2006/picture">
                <pic:pic xmlns:pic="http://schemas.openxmlformats.org/drawingml/2006/picture">
                  <pic:nvPicPr>
                    <pic:cNvPr id="65"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Threads for Your Wisdom and Insights</w:t>
      </w:r>
    </w:p>
    <w:p w14:paraId="6EE2AA81" w14:textId="77777777" w:rsidR="002535BC" w:rsidRDefault="000976DC">
      <w:pPr>
        <w:pStyle w:val="Compact"/>
        <w:numPr>
          <w:ilvl w:val="0"/>
          <w:numId w:val="11"/>
        </w:numPr>
      </w:pPr>
      <w:r>
        <w:rPr>
          <w:b/>
          <w:bCs/>
        </w:rPr>
        <w:t>On community and trust:</w:t>
      </w:r>
      <w:r>
        <w:t xml:space="preserve"> The article is fundamentally about broken trust and how to rebuild it. What does genuine trust restoration look like in practice — and how long does it take?</w:t>
      </w:r>
    </w:p>
    <w:p w14:paraId="08B418CB" w14:textId="77777777" w:rsidR="002535BC" w:rsidRDefault="000976DC">
      <w:pPr>
        <w:pStyle w:val="Compact"/>
        <w:numPr>
          <w:ilvl w:val="0"/>
          <w:numId w:val="11"/>
        </w:numPr>
      </w:pPr>
      <w:r>
        <w:rPr>
          <w:b/>
          <w:bCs/>
        </w:rPr>
        <w:t>On the “Long Tail” opportunity:</w:t>
      </w:r>
      <w:r>
        <w:t xml:space="preserve"> </w:t>
      </w:r>
      <w:r>
        <w:t>Have you seen other industries successfully re-engage a neglected long tail? What made those efforts succeed or fail?</w:t>
      </w:r>
    </w:p>
    <w:p w14:paraId="0027D607" w14:textId="77777777" w:rsidR="002535BC" w:rsidRDefault="000976DC">
      <w:pPr>
        <w:pStyle w:val="Compact"/>
        <w:numPr>
          <w:ilvl w:val="0"/>
          <w:numId w:val="11"/>
        </w:numPr>
      </w:pPr>
      <w:r>
        <w:rPr>
          <w:b/>
          <w:bCs/>
        </w:rPr>
        <w:t>On the culture gap:</w:t>
      </w:r>
      <w:r>
        <w:t xml:space="preserve"> The contrast between “specialist generalists” (SMB) vs. “specialist one-discipline” (large shop) developers is worth exploring. Is the SMB developer archetype undervalued in how the industry thinks about talent?</w:t>
      </w:r>
    </w:p>
    <w:p w14:paraId="134A7973" w14:textId="77777777" w:rsidR="002535BC" w:rsidRDefault="000976DC">
      <w:pPr>
        <w:pStyle w:val="Compact"/>
        <w:numPr>
          <w:ilvl w:val="0"/>
          <w:numId w:val="11"/>
        </w:numPr>
      </w:pPr>
      <w:r>
        <w:rPr>
          <w:b/>
          <w:bCs/>
        </w:rPr>
        <w:t>On intERPrise’s financial module choice:</w:t>
      </w:r>
      <w:r>
        <w:t xml:space="preserve"> Starting with GL/AP/AR is conservative and sensible — but is it exciting enough to generate the word-of-mouth momentum Marinus is counting on?</w:t>
      </w:r>
    </w:p>
    <w:p w14:paraId="2B21FF61" w14:textId="77777777" w:rsidR="002535BC" w:rsidRDefault="000976DC">
      <w:pPr>
        <w:pStyle w:val="Compact"/>
        <w:numPr>
          <w:ilvl w:val="0"/>
          <w:numId w:val="11"/>
        </w:numPr>
      </w:pPr>
      <w:r>
        <w:rPr>
          <w:b/>
          <w:bCs/>
        </w:rPr>
        <w:t>On the retirement cliff:</w:t>
      </w:r>
      <w:r>
        <w:t xml:space="preserve"> The 3-year talent retirement window is presented as both a risk and a catalyst. Do you agree? What’s your read on urgency?</w:t>
      </w:r>
    </w:p>
    <w:p w14:paraId="524F02D6" w14:textId="77777777" w:rsidR="002535BC" w:rsidRDefault="000976DC">
      <w:r>
        <w:lastRenderedPageBreak/>
        <w:pict w14:anchorId="4C476396">
          <v:rect id="_x0000_i1038" style="width:0;height:1.5pt" o:hralign="center" o:hrstd="t" o:hr="t"/>
        </w:pict>
      </w:r>
    </w:p>
    <w:bookmarkStart w:id="19" w:name="X7c7a445cb9713d1498d64ab92371e272d8d3572"/>
    <w:bookmarkEnd w:id="18"/>
    <w:p w14:paraId="3C2CAC8D" w14:textId="77777777" w:rsidR="002535BC" w:rsidRDefault="000976DC">
      <w:pPr>
        <w:pStyle w:val="Heading2"/>
      </w:pPr>
      <w:r>
        <w:fldChar w:fldCharType="begin"/>
      </w:r>
      <w:r>
        <w:instrText>HYPERLINK \l "X7c7a445cb9713d1498d64ab92371e272d8d3572" \h</w:instrText>
      </w:r>
      <w:r>
        <w:fldChar w:fldCharType="separate"/>
      </w:r>
      <w:r>
        <w:rPr>
          <w:noProof/>
        </w:rPr>
        <w:drawing>
          <wp:inline distT="0" distB="0" distL="0" distR="0" wp14:anchorId="69C44689" wp14:editId="29D2D5D4">
            <wp:extent cx="152400" cy="152400"/>
            <wp:effectExtent l="0" t="0" r="0" b="0"/>
            <wp:docPr id="67" name="Picture"/>
            <wp:cNvGraphicFramePr/>
            <a:graphic xmlns:a="http://schemas.openxmlformats.org/drawingml/2006/main">
              <a:graphicData uri="http://schemas.openxmlformats.org/drawingml/2006/picture">
                <pic:pic xmlns:pic="http://schemas.openxmlformats.org/drawingml/2006/picture">
                  <pic:nvPicPr>
                    <pic:cNvPr id="68"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 xml:space="preserve"> Key References to Explore</w:t>
      </w:r>
    </w:p>
    <w:p w14:paraId="18E46AC7" w14:textId="77777777" w:rsidR="002535BC" w:rsidRDefault="000976DC">
      <w:pPr>
        <w:pStyle w:val="Compact"/>
        <w:numPr>
          <w:ilvl w:val="0"/>
          <w:numId w:val="12"/>
        </w:numPr>
      </w:pPr>
      <w:hyperlink r:id="rId9">
        <w:r>
          <w:rPr>
            <w:rStyle w:val="Hyperlink"/>
          </w:rPr>
          <w:t>Fortra IBM i Marketplace Survey 2026</w:t>
        </w:r>
      </w:hyperlink>
    </w:p>
    <w:p w14:paraId="0DE107B2" w14:textId="77777777" w:rsidR="002535BC" w:rsidRDefault="000976DC">
      <w:pPr>
        <w:pStyle w:val="Compact"/>
        <w:numPr>
          <w:ilvl w:val="0"/>
          <w:numId w:val="12"/>
        </w:numPr>
      </w:pPr>
      <w:hyperlink r:id="rId10">
        <w:r>
          <w:rPr>
            <w:rStyle w:val="Hyperlink"/>
          </w:rPr>
          <w:t>ALL400s Initiative</w:t>
        </w:r>
      </w:hyperlink>
    </w:p>
    <w:p w14:paraId="0CF1025F" w14:textId="77777777" w:rsidR="002535BC" w:rsidRDefault="000976DC">
      <w:pPr>
        <w:pStyle w:val="Compact"/>
        <w:numPr>
          <w:ilvl w:val="0"/>
          <w:numId w:val="12"/>
        </w:numPr>
      </w:pPr>
      <w:hyperlink r:id="rId11">
        <w:r>
          <w:rPr>
            <w:rStyle w:val="Hyperlink"/>
          </w:rPr>
          <w:t>Bob Losey – “The Real Cost of Ignoring Your Legacy IBM i Server”</w:t>
        </w:r>
      </w:hyperlink>
    </w:p>
    <w:p w14:paraId="14F4ADA9" w14:textId="77777777" w:rsidR="002535BC" w:rsidRDefault="000976DC">
      <w:pPr>
        <w:pStyle w:val="Compact"/>
        <w:numPr>
          <w:ilvl w:val="0"/>
          <w:numId w:val="12"/>
        </w:numPr>
      </w:pPr>
      <w:hyperlink r:id="rId12">
        <w:r>
          <w:rPr>
            <w:rStyle w:val="Hyperlink"/>
          </w:rPr>
          <w:t>Richie Palma – “The True Cost of Replatforming off IBM i”</w:t>
        </w:r>
      </w:hyperlink>
    </w:p>
    <w:p w14:paraId="09B6FA40" w14:textId="77777777" w:rsidR="002535BC" w:rsidRDefault="000976DC">
      <w:pPr>
        <w:pStyle w:val="Compact"/>
        <w:numPr>
          <w:ilvl w:val="0"/>
          <w:numId w:val="12"/>
        </w:numPr>
      </w:pPr>
      <w:hyperlink r:id="rId13">
        <w:r>
          <w:rPr>
            <w:rStyle w:val="Hyperlink"/>
          </w:rPr>
          <w:t>Bob Losey – “IBM Subscription Licensing Impact on SMBs”</w:t>
        </w:r>
      </w:hyperlink>
    </w:p>
    <w:p w14:paraId="4BAB1229" w14:textId="77777777" w:rsidR="002535BC" w:rsidRDefault="000976DC">
      <w:pPr>
        <w:pStyle w:val="Compact"/>
        <w:numPr>
          <w:ilvl w:val="0"/>
          <w:numId w:val="12"/>
        </w:numPr>
      </w:pPr>
      <w:r>
        <w:rPr>
          <w:i/>
          <w:iCs/>
        </w:rPr>
        <w:t>The Long Tail</w:t>
      </w:r>
      <w:r>
        <w:t xml:space="preserve"> by Chris Anderson — ISBN 978-1401309664</w:t>
      </w:r>
    </w:p>
    <w:p w14:paraId="7CE48F79" w14:textId="77777777" w:rsidR="002535BC" w:rsidRDefault="000976DC">
      <w:pPr>
        <w:pStyle w:val="Compact"/>
        <w:numPr>
          <w:ilvl w:val="0"/>
          <w:numId w:val="12"/>
        </w:numPr>
      </w:pPr>
      <w:r>
        <w:t xml:space="preserve">Mark McDonnall’s musings: </w:t>
      </w:r>
      <w:hyperlink r:id="rId14">
        <w:r>
          <w:rPr>
            <w:rStyle w:val="Hyperlink"/>
          </w:rPr>
          <w:t>Blog</w:t>
        </w:r>
      </w:hyperlink>
      <w:r>
        <w:t xml:space="preserve"> and two PDFs attached in the forum thread</w:t>
      </w:r>
    </w:p>
    <w:p w14:paraId="67611A54" w14:textId="77777777" w:rsidR="002535BC" w:rsidRDefault="000976DC">
      <w:r>
        <w:pict w14:anchorId="1861FA9D">
          <v:rect id="_x0000_i1039" style="width:0;height:1.5pt" o:hralign="center" o:hrstd="t" o:hr="t"/>
        </w:pict>
      </w:r>
    </w:p>
    <w:bookmarkStart w:id="20" w:name="X2c0178d8916ed80af9b9f0378bef04b2619bf91"/>
    <w:bookmarkEnd w:id="19"/>
    <w:p w14:paraId="133BEEA5" w14:textId="77777777" w:rsidR="002535BC" w:rsidRDefault="000976DC">
      <w:pPr>
        <w:pStyle w:val="Heading2"/>
      </w:pPr>
      <w:r>
        <w:fldChar w:fldCharType="begin"/>
      </w:r>
      <w:r>
        <w:instrText>HYPERLINK \l "X2c0178d8916ed80af9b9f0378bef04b2619bf91" \h</w:instrText>
      </w:r>
      <w:r>
        <w:fldChar w:fldCharType="separate"/>
      </w:r>
      <w:r>
        <w:rPr>
          <w:noProof/>
        </w:rPr>
        <w:drawing>
          <wp:inline distT="0" distB="0" distL="0" distR="0" wp14:anchorId="01D80F4A" wp14:editId="58CF2A7A">
            <wp:extent cx="152400" cy="152400"/>
            <wp:effectExtent l="0" t="0" r="0" b="0"/>
            <wp:docPr id="76" name="Picture"/>
            <wp:cNvGraphicFramePr/>
            <a:graphic xmlns:a="http://schemas.openxmlformats.org/drawingml/2006/main">
              <a:graphicData uri="http://schemas.openxmlformats.org/drawingml/2006/picture">
                <pic:pic xmlns:pic="http://schemas.openxmlformats.org/drawingml/2006/picture">
                  <pic:nvPicPr>
                    <pic:cNvPr id="77" name="Picture" descr="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"/>
                    <pic:cNvPicPr>
                      <a:picLocks noChangeAspect="1" noChangeArrowheads="1"/>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bwMode="auto">
                    <a:xfrm>
                      <a:off x="0" y="0"/>
                      <a:ext cx="152400" cy="152400"/>
                    </a:xfrm>
                    <a:prstGeom prst="rect">
                      <a:avLst/>
                    </a:prstGeom>
                    <a:noFill/>
                    <a:ln w="9525">
                      <a:noFill/>
                      <a:headEnd/>
                      <a:tailEnd/>
                    </a:ln>
                  </pic:spPr>
                </pic:pic>
              </a:graphicData>
            </a:graphic>
          </wp:inline>
        </w:drawing>
      </w:r>
      <w:r>
        <w:fldChar w:fldCharType="end"/>
      </w:r>
      <w:r>
        <w:t>✍</w:t>
      </w:r>
      <w:r>
        <w:t>️</w:t>
      </w:r>
      <w:r>
        <w:t xml:space="preserve"> Notes &amp; Personal Reactions</w:t>
      </w:r>
    </w:p>
    <w:p w14:paraId="6AAD7DBE" w14:textId="792332CE" w:rsidR="002535BC" w:rsidRDefault="002535BC"/>
    <w:p w14:paraId="60771AE7" w14:textId="77777777" w:rsidR="00BD6829" w:rsidRDefault="00BD6829"/>
    <w:p w14:paraId="1B038F6A" w14:textId="77777777" w:rsidR="00BD6829" w:rsidRDefault="00BD6829"/>
    <w:p w14:paraId="3D94B4BD" w14:textId="77777777" w:rsidR="00BD6829" w:rsidRDefault="00BD6829"/>
    <w:p w14:paraId="065EB7DD" w14:textId="77777777" w:rsidR="00BD6829" w:rsidRDefault="00BD6829"/>
    <w:p w14:paraId="3D1CF439" w14:textId="77777777" w:rsidR="00BD6829" w:rsidRDefault="00BD6829"/>
    <w:p w14:paraId="1CBDC66E" w14:textId="77777777" w:rsidR="002535BC" w:rsidRDefault="000976DC">
      <w:pPr>
        <w:pStyle w:val="FirstParagraph"/>
      </w:pPr>
      <w:r>
        <w:rPr>
          <w:i/>
          <w:iCs/>
        </w:rPr>
        <w:t>Companion document prepared: March 4, 2026</w:t>
      </w:r>
      <w:bookmarkEnd w:id="0"/>
      <w:bookmarkEnd w:id="20"/>
    </w:p>
    <w:sectPr w:rsidR="002535BC">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54807F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0C78B2A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800E41F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459030438">
    <w:abstractNumId w:val="0"/>
  </w:num>
  <w:num w:numId="2" w16cid:durableId="6274669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53875524">
    <w:abstractNumId w:val="1"/>
  </w:num>
  <w:num w:numId="4" w16cid:durableId="1203638909">
    <w:abstractNumId w:val="1"/>
  </w:num>
  <w:num w:numId="5" w16cid:durableId="1612589837">
    <w:abstractNumId w:val="1"/>
  </w:num>
  <w:num w:numId="6" w16cid:durableId="1075857802">
    <w:abstractNumId w:val="1"/>
  </w:num>
  <w:num w:numId="7" w16cid:durableId="820005971">
    <w:abstractNumId w:val="1"/>
  </w:num>
  <w:num w:numId="8" w16cid:durableId="999231128">
    <w:abstractNumId w:val="1"/>
  </w:num>
  <w:num w:numId="9" w16cid:durableId="1977641882">
    <w:abstractNumId w:val="1"/>
  </w:num>
  <w:num w:numId="10" w16cid:durableId="142353119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47652756">
    <w:abstractNumId w:val="1"/>
  </w:num>
  <w:num w:numId="12" w16cid:durableId="9642395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5BC"/>
    <w:rsid w:val="000976DC"/>
    <w:rsid w:val="0010595D"/>
    <w:rsid w:val="00124502"/>
    <w:rsid w:val="00194889"/>
    <w:rsid w:val="00201013"/>
    <w:rsid w:val="002334EE"/>
    <w:rsid w:val="002535BC"/>
    <w:rsid w:val="002D5A96"/>
    <w:rsid w:val="003A2558"/>
    <w:rsid w:val="004502D4"/>
    <w:rsid w:val="00482579"/>
    <w:rsid w:val="004B64D9"/>
    <w:rsid w:val="005068BF"/>
    <w:rsid w:val="00514E1D"/>
    <w:rsid w:val="006E0D44"/>
    <w:rsid w:val="007E5DDC"/>
    <w:rsid w:val="00817577"/>
    <w:rsid w:val="00861529"/>
    <w:rsid w:val="00983B00"/>
    <w:rsid w:val="009D29A3"/>
    <w:rsid w:val="009D313A"/>
    <w:rsid w:val="00AB30B3"/>
    <w:rsid w:val="00AE102B"/>
    <w:rsid w:val="00B30119"/>
    <w:rsid w:val="00BD6829"/>
    <w:rsid w:val="00C1486E"/>
    <w:rsid w:val="00C22BDD"/>
    <w:rsid w:val="00CA5802"/>
    <w:rsid w:val="00E12694"/>
    <w:rsid w:val="00ED4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235A6"/>
  <w15:docId w15:val="{E5D0C437-DC6B-47DA-8509-811709D86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basedOn w:val="Title"/>
    <w:next w:val="BodyText"/>
    <w:qFormat/>
    <w:pPr>
      <w:keepNext/>
      <w:keepLines/>
    </w:pPr>
    <w:rPr>
      <w:sz w:val="24"/>
      <w:szCs w:val="24"/>
    </w:rPr>
  </w:style>
  <w:style w:type="paragraph" w:styleId="Date">
    <w:name w:val="Date"/>
    <w:basedOn w:val="Title"/>
    <w:next w:val="BodyText"/>
    <w:qFormat/>
    <w:pPr>
      <w:keepNext/>
      <w:keepLines/>
    </w:pPr>
    <w:rPr>
      <w:sz w:val="24"/>
      <w:szCs w:val="24"/>
    </w:r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UnresolvedMention">
    <w:name w:val="Unresolved Mention"/>
    <w:basedOn w:val="DefaultParagraphFont"/>
    <w:uiPriority w:val="99"/>
    <w:semiHidden/>
    <w:unhideWhenUsed/>
    <w:rsid w:val="00AB30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le-rpg.org/forum/open-source-contributions/ibm-i-smb-market-analysis-discussion-interprise/" TargetMode="External"/><Relationship Id="rId13" Type="http://schemas.openxmlformats.org/officeDocument/2006/relationships/hyperlink" Target="https://www.linkedin.com/pulse/ibm-subscription-licensing-impact-smbs-bob-losey-jcxac/" TargetMode="External"/><Relationship Id="rId3" Type="http://schemas.openxmlformats.org/officeDocument/2006/relationships/settings" Target="settings.xml"/><Relationship Id="rId7" Type="http://schemas.openxmlformats.org/officeDocument/2006/relationships/hyperlink" Target="https://www.ile-rpg.org/forum/open-source-contributions/ibm-i-smb-market-analysis-discussion-interprise/" TargetMode="External"/><Relationship Id="rId12" Type="http://schemas.openxmlformats.org/officeDocument/2006/relationships/hyperlink" Target="https://www.linkedin.com/pulse/true-cost-replatforming-off-ibm-i-one-talks-richie-palma-lzcx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hyperlink" Target="https://www.linkedin.com/pulse/whats-real-cost-ignoring-your-legacy-ibm-i-server-what-bob-losey-azigc/"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all400s.com/" TargetMode="External"/><Relationship Id="rId4" Type="http://schemas.openxmlformats.org/officeDocument/2006/relationships/webSettings" Target="webSettings.xml"/><Relationship Id="rId9" Type="http://schemas.openxmlformats.org/officeDocument/2006/relationships/hyperlink" Target="https://static.fortra.com/hs/pdfs/guides/marketplace/ibmi-marketplace-survey-results.pdf" TargetMode="External"/><Relationship Id="rId14" Type="http://schemas.openxmlformats.org/officeDocument/2006/relationships/hyperlink" Target="https://ibmireference.blogspot.com/p/mark-mcdonnell-musings-pag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19</TotalTime>
  <Pages>8</Pages>
  <Words>2438</Words>
  <Characters>13900</Characters>
  <Application>Microsoft Office Word</Application>
  <DocSecurity>0</DocSecurity>
  <Lines>115</Lines>
  <Paragraphs>32</Paragraphs>
  <ScaleCrop>false</ScaleCrop>
  <Company/>
  <LinksUpToDate>false</LinksUpToDate>
  <CharactersWithSpaces>16306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Moegling</dc:creator>
  <cp:keywords/>
  <cp:lastModifiedBy>Mike Moegling</cp:lastModifiedBy>
  <cp:revision>27</cp:revision>
  <dcterms:created xsi:type="dcterms:W3CDTF">2026-03-05T02:17:00Z</dcterms:created>
  <dcterms:modified xsi:type="dcterms:W3CDTF">2026-03-05T02:35:00Z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iewport">
    <vt:lpwstr>width=device-width, initial-scale=1</vt:lpwstr>
  </property>
</Properties>
</file>